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a="http://schemas.openxmlformats.org/drawingml/2006/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mc:Ignorable="w14 w15 wp14">
  <w:body>
    <w:p>
      <w:pPr>
        <w:spacing w:line="600" w:lineRule="auto"/>
        <w:jc w:val="center"/>
        <w:rPr>
          <w:rFonts w:hint="eastAsia" w:ascii="宋体" w:hAnsi="宋体"/>
          <w:b/>
          <w:bCs/>
          <w:color w:val="auto"/>
          <w:sz w:val="36"/>
        </w:rPr>
      </w:pPr>
      <w:bookmarkStart w:id="0" w:name="_GoBack"/>
      <w:bookmarkEnd w:id="0"/>
      <w:r>
        <w:rPr>
          <w:rFonts w:hint="eastAsia" w:ascii="宋体" w:hAnsi="宋体"/>
          <w:b/>
          <w:bCs/>
          <w:color w:val="auto"/>
          <w:sz w:val="36"/>
        </w:rPr>
        <w:t>仪器设备论证表</w:t>
      </w:r>
    </w:p>
    <w:p>
      <w:pPr>
        <w:jc w:val="center"/>
        <w:rPr>
          <w:rFonts w:hint="eastAsia" w:ascii="宋体" w:hAnsi="宋体"/>
          <w:color w:val="auto"/>
          <w:sz w:val="24"/>
        </w:rPr>
      </w:pPr>
      <w:r>
        <w:rPr>
          <w:rFonts w:hint="eastAsia" w:ascii="宋体" w:hAnsi="宋体"/>
          <w:color w:val="auto"/>
          <w:sz w:val="24"/>
        </w:rPr>
        <w:t xml:space="preserve">                                      填报日期：    年     月      日</w:t>
      </w:r>
    </w:p>
    <w:tbl>
      <w:tblPr>
        <w:tblStyle w:val="2"/>
        <w:tblW w:w="10380" w:type="dxa"/>
        <w:tblInd w:w="-9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2865"/>
        <w:gridCol w:w="2250"/>
        <w:gridCol w:w="3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0" w:type="dxa"/>
            <w:noWrap w:val="0"/>
            <w:vAlign w:val="center"/>
          </w:tcPr>
          <w:p>
            <w:pPr>
              <w:snapToGrid w:val="0"/>
              <w:jc w:val="center"/>
              <w:rPr>
                <w:rFonts w:hint="eastAsia" w:ascii="宋体" w:hAnsi="宋体"/>
                <w:color w:val="auto"/>
                <w:sz w:val="24"/>
              </w:rPr>
            </w:pPr>
            <w:r>
              <w:rPr>
                <w:rFonts w:hint="eastAsia" w:ascii="宋体" w:hAnsi="宋体"/>
                <w:color w:val="auto"/>
                <w:sz w:val="24"/>
              </w:rPr>
              <w:t>申报科室</w:t>
            </w:r>
          </w:p>
        </w:tc>
        <w:tc>
          <w:tcPr>
            <w:tcW w:w="2865" w:type="dxa"/>
            <w:noWrap w:val="0"/>
            <w:vAlign w:val="bottom"/>
          </w:tcPr>
          <w:p>
            <w:pPr>
              <w:snapToGrid w:val="0"/>
              <w:spacing w:line="360" w:lineRule="auto"/>
              <w:jc w:val="center"/>
              <w:rPr>
                <w:rFonts w:hint="eastAsia" w:ascii="宋体" w:hAnsi="宋体"/>
                <w:color w:val="auto"/>
                <w:sz w:val="24"/>
              </w:rPr>
            </w:pPr>
            <w:r>
              <w:t>重症医学科（ICU）</w:t>
            </w:r>
          </w:p>
        </w:tc>
        <w:tc>
          <w:tcPr>
            <w:tcW w:w="2250" w:type="dxa"/>
            <w:noWrap w:val="0"/>
            <w:vAlign w:val="center"/>
          </w:tcPr>
          <w:p>
            <w:pPr>
              <w:snapToGrid w:val="0"/>
              <w:jc w:val="center"/>
              <w:rPr>
                <w:rFonts w:ascii="宋体" w:hAnsi="宋体"/>
                <w:color w:val="auto"/>
                <w:sz w:val="24"/>
              </w:rPr>
            </w:pPr>
            <w:r>
              <w:rPr>
                <w:rFonts w:hint="eastAsia" w:ascii="宋体" w:hAnsi="宋体"/>
                <w:color w:val="auto"/>
                <w:sz w:val="24"/>
              </w:rPr>
              <w:t>填报人</w:t>
            </w:r>
          </w:p>
        </w:tc>
        <w:tc>
          <w:tcPr>
            <w:tcW w:w="3075" w:type="dxa"/>
            <w:noWrap w:val="0"/>
            <w:vAlign w:val="bottom"/>
          </w:tcPr>
          <w:p>
            <w:pPr>
              <w:snapToGrid w:val="0"/>
              <w:spacing w:line="360" w:lineRule="auto"/>
              <w:jc w:val="center"/>
              <w:rPr>
                <w:rFonts w:hint="eastAsia"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0380" w:type="dxa"/>
            <w:gridSpan w:val="4"/>
            <w:noWrap w:val="0"/>
            <w:vAlign w:val="bottom"/>
          </w:tcPr>
          <w:p>
            <w:pPr>
              <w:spacing w:line="360" w:lineRule="auto"/>
              <w:rPr>
                <w:rFonts w:hint="eastAsia"/>
                <w:color w:val="auto"/>
                <w:sz w:val="24"/>
                <w:highlight w:val="none"/>
                <w:lang w:val="en-US" w:eastAsia="zh-CN"/>
              </w:rPr>
            </w:pPr>
            <w:r>
              <w:rPr>
                <w:rFonts w:hint="eastAsia"/>
                <w:color w:val="auto"/>
                <w:sz w:val="24"/>
                <w:highlight w:val="none"/>
                <w:lang w:val="en-US" w:eastAsia="zh-CN"/>
              </w:rPr>
              <w:t>申购</w:t>
            </w:r>
            <w:r>
              <w:rPr>
                <w:rFonts w:hint="eastAsia"/>
                <w:color w:val="auto"/>
                <w:sz w:val="24"/>
                <w:highlight w:val="none"/>
              </w:rPr>
              <w:t>仪器设备名称：</w:t>
            </w:r>
            <w:r>
              <w:rPr>
                <w:rFonts w:hint="eastAsia"/>
                <w:color w:val="auto"/>
                <w:sz w:val="24"/>
                <w:highlight w:val="none"/>
                <w:lang w:val="en-US" w:eastAsia="zh-CN"/>
              </w:rPr>
              <w:t xml:space="preserve"> Essence Research 专病科研工作站（前沿突破站）；中文名：重症医学科专病多模态科研数据与工作站</w:t>
            </w:r>
          </w:p>
          <w:p>
            <w:pPr>
              <w:spacing w:line="360" w:lineRule="auto"/>
              <w:rPr>
                <w:rFonts w:hint="default" w:ascii="Calibri" w:hAnsi="Calibri" w:eastAsia="宋体" w:cs="Calibri"/>
                <w:color w:val="auto"/>
                <w:sz w:val="24"/>
                <w:highlight w:val="none"/>
                <w:lang w:val="en-US" w:eastAsia="zh-CN"/>
              </w:rPr>
            </w:pPr>
            <w:r>
              <w:rPr>
                <w:rFonts w:hint="eastAsia"/>
                <w:color w:val="auto"/>
                <w:sz w:val="24"/>
                <w:highlight w:val="none"/>
                <w:lang w:val="en-US" w:eastAsia="zh-CN"/>
              </w:rPr>
              <w:t>数量： 1 台/套</w:t>
            </w:r>
            <w:r>
              <w:rPr>
                <w:rFonts w:hint="eastAsia"/>
                <w:color w:val="auto"/>
                <w:sz w:val="24"/>
                <w:highlight w:val="none"/>
              </w:rPr>
              <w:t xml:space="preserve">                预算总金额：</w:t>
            </w:r>
            <w:r>
              <w:rPr>
                <w:rFonts w:hint="default" w:ascii="Calibri" w:hAnsi="Calibri" w:cs="Calibri"/>
                <w:color w:val="auto"/>
                <w:sz w:val="24"/>
                <w:highlight w:val="none"/>
                <w:lang w:val="en-US" w:eastAsia="zh-CN"/>
              </w:rPr>
              <w:t>45</w:t>
            </w:r>
            <w:r>
              <w:rPr>
                <w:rFonts w:hint="eastAsia" w:ascii="Calibri" w:hAnsi="Calibri" w:cs="Calibri"/>
                <w:color w:val="auto"/>
                <w:sz w:val="24"/>
                <w:highlight w:val="none"/>
                <w:lang w:val="en-US" w:eastAsia="zh-CN"/>
              </w:rPr>
              <w:t>万元</w:t>
            </w:r>
          </w:p>
          <w:p>
            <w:pPr>
              <w:spacing w:line="360" w:lineRule="auto"/>
              <w:rPr>
                <w:rFonts w:hint="eastAsia"/>
                <w:color w:val="auto"/>
                <w:sz w:val="24"/>
                <w:highlight w:val="none"/>
              </w:rPr>
            </w:pPr>
            <w:r>
              <w:rPr>
                <w:rFonts w:hint="eastAsia"/>
                <w:color w:val="auto"/>
                <w:sz w:val="24"/>
                <w:highlight w:val="none"/>
              </w:rPr>
              <w:t xml:space="preserve">进口/国产： 国产</w:t>
            </w:r>
            <w:r>
              <w:rPr>
                <w:rFonts w:hint="eastAsia"/>
                <w:color w:val="auto"/>
                <w:sz w:val="24"/>
                <w:highlight w:val="none"/>
                <w:lang w:val="en-US" w:eastAsia="zh-CN"/>
              </w:rPr>
              <w:t xml:space="preserve"/>
            </w:r>
          </w:p>
          <w:p>
            <w:pPr>
              <w:tabs>
                <w:tab w:val="left" w:pos="657"/>
              </w:tabs>
              <w:spacing w:line="360" w:lineRule="auto"/>
              <w:jc w:val="left"/>
              <w:rPr>
                <w:rFonts w:hint="eastAsia"/>
                <w:color w:val="auto"/>
                <w:sz w:val="24"/>
                <w:highlight w:val="none"/>
              </w:rPr>
            </w:pPr>
            <w:r>
              <w:rPr>
                <w:rFonts w:hint="eastAsia"/>
                <w:color w:val="auto"/>
                <w:sz w:val="24"/>
                <w:highlight w:val="none"/>
              </w:rPr>
              <w:t>设备类型：（科研/</w:t>
            </w:r>
            <w:r>
              <w:rPr>
                <w:rFonts w:hint="eastAsia"/>
                <w:color w:val="auto"/>
                <w:sz w:val="24"/>
                <w:highlight w:val="none"/>
                <w:lang w:eastAsia="zh-CN"/>
              </w:rPr>
              <w:t>医院统筹规划</w:t>
            </w:r>
            <w:r>
              <w:rPr>
                <w:rFonts w:hint="eastAsia"/>
                <w:color w:val="auto"/>
                <w:sz w:val="24"/>
                <w:highlight w:val="none"/>
              </w:rPr>
              <w:t>/更新、增添/开展新项目必备）</w:t>
            </w:r>
            <w:r>
              <w:rPr>
                <w:rFonts w:hint="eastAsia"/>
                <w:color w:val="auto"/>
                <w:sz w:val="24"/>
                <w:highlight w:val="none"/>
              </w:rPr>
              <w:t xml:space="preserve"> 科研；开展新项目必备</w:t>
            </w:r>
          </w:p>
          <w:p>
            <w:pPr>
              <w:tabs>
                <w:tab w:val="left" w:pos="657"/>
              </w:tabs>
              <w:spacing w:line="360" w:lineRule="auto"/>
              <w:jc w:val="left"/>
              <w:rPr>
                <w:rFonts w:hint="eastAsia"/>
                <w:color w:val="auto"/>
                <w:sz w:val="24"/>
                <w:highlight w:val="none"/>
              </w:rPr>
            </w:pPr>
            <w:r>
              <w:rPr>
                <w:rFonts w:hint="eastAsia"/>
                <w:color w:val="auto"/>
                <w:sz w:val="24"/>
                <w:highlight w:val="none"/>
              </w:rPr>
              <w:t>推荐品牌：</w:t>
            </w:r>
          </w:p>
          <w:p>
            <w:pPr>
              <w:spacing w:line="360" w:lineRule="auto"/>
              <w:rPr>
                <w:rFonts w:hint="eastAsia"/>
                <w:color w:val="auto"/>
                <w:sz w:val="24"/>
                <w:highlight w:val="none"/>
              </w:rPr>
            </w:pPr>
            <w:r>
              <w:rPr>
                <w:rFonts w:hint="eastAsia"/>
                <w:color w:val="auto"/>
                <w:sz w:val="24"/>
                <w:highlight w:val="none"/>
              </w:rPr>
              <w:t>（1）Essence Research  （2）联影数据  （3）森亿智能</w:t>
            </w:r>
          </w:p>
          <w:p>
            <w:pP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5" w:hRule="atLeast"/>
        </w:trPr>
        <w:tc>
          <w:tcPr>
            <w:tcW w:w="10380" w:type="dxa"/>
            <w:gridSpan w:val="4"/>
            <w:noWrap w:val="0"/>
            <w:vAlign w:val="top"/>
          </w:tcPr>
          <w:p>
            <w:pPr>
              <w:spacing w:line="600" w:lineRule="auto"/>
              <w:jc w:val="left"/>
              <w:rPr>
                <w:rFonts w:hint="eastAsia" w:eastAsia="宋体"/>
                <w:color w:val="auto"/>
                <w:sz w:val="24"/>
                <w:highlight w:val="none"/>
                <w:lang w:eastAsia="zh-CN"/>
              </w:rPr>
            </w:pPr>
            <w:r>
              <w:rPr>
                <w:rFonts w:hint="eastAsia"/>
                <w:color w:val="auto"/>
                <w:sz w:val="24"/>
                <w:highlight w:val="none"/>
              </w:rPr>
              <w:t>申购理由： 拟购置设备的必要性、先进性、适用性、经济性；设备购置用途、目的、意义等。（说明拟购置设备的用途及对学科建设和项目建设的必要性、紧迫性，特别是对待要解决的主要问题和促进标志性成果产生的重要作用；现有工作基础等</w:t>
            </w:r>
            <w:r>
              <w:rPr>
                <w:rFonts w:hint="eastAsia"/>
                <w:color w:val="auto"/>
                <w:sz w:val="24"/>
                <w:highlight w:val="none"/>
                <w:lang w:eastAsia="zh-CN"/>
              </w:rPr>
              <w:t>）</w:t>
            </w:r>
          </w:p>
          <w:p>
            <w:pPr>
              <w:spacing w:line="600" w:lineRule="auto"/>
              <w:jc w:val="left"/>
              <w:rPr>
                <w:rFonts w:hint="eastAsia" w:eastAsia="宋体"/>
                <w:color w:val="auto"/>
                <w:sz w:val="24"/>
                <w:highlight w:val="none"/>
                <w:lang w:eastAsia="zh-CN"/>
              </w:rPr>
            </w:pPr>
            <w:r>
              <w:rPr>
                <w:rFonts w:hint="eastAsia"/>
                <w:color w:val="auto"/>
                <w:sz w:val="24"/>
                <w:highlight w:val="none"/>
              </w:rPr>
              <w:t>必要性与紧迫性：重症医学科拟建设重症专病科研数据与影像阅片一体化能力，支撑专病库建设、危重病程随访、队列筛选与课题出数。当前病例、检验、影像与转归信息多分散于电子病历、表格与外置介质，事后补录成本高、口径不齐，难以形成可检索、可质控、可脱敏导出的重症专病数据库，制约论文、课题与真实世界研究产出。购置本工作站可将科研数据采集沉淀为院内可持续运营的重症专病科研底座，是学科建设与标志性科研成果产出的基础条件。</w:t>
            </w:r>
          </w:p>
          <w:p>
            <w:pPr>
              <w:spacing w:line="600" w:lineRule="auto"/>
              <w:jc w:val="left"/>
              <w:rPr>
                <w:rFonts w:hint="eastAsia" w:eastAsia="宋体"/>
                <w:color w:val="auto"/>
                <w:sz w:val="24"/>
                <w:highlight w:val="none"/>
                <w:lang w:eastAsia="zh-CN"/>
              </w:rPr>
            </w:pPr>
            <w:r>
              <w:rPr>
                <w:rFonts w:hint="eastAsia"/>
                <w:color w:val="auto"/>
                <w:sz w:val="24"/>
                <w:highlight w:val="none"/>
              </w:rPr>
              <w:t>先进性：本设备为国产软硬一体科研工作站，集成专病数据管理、科研阅片、采集及可运行科研模型的算力配置，覆盖收数、建库、阅片关联、随访质控与分析出数闭环；专题字段包可按重症研究方向配置扩展；院内私有化部署，数据默认不出域。定位为科学研究与专病库建设，不用于临床诊疗决策，不按已注册医疗器械销售，不替代监护仪、呼吸机等床旁临床设备。</w:t>
            </w:r>
          </w:p>
          <w:p>
            <w:pPr>
              <w:spacing w:line="600" w:lineRule="auto"/>
              <w:jc w:val="left"/>
              <w:rPr>
                <w:rFonts w:hint="eastAsia" w:eastAsia="宋体"/>
                <w:color w:val="auto"/>
                <w:sz w:val="24"/>
                <w:highlight w:val="none"/>
                <w:lang w:eastAsia="zh-CN"/>
              </w:rPr>
            </w:pPr>
            <w:r>
              <w:rPr>
                <w:rFonts w:hint="eastAsia"/>
                <w:color w:val="auto"/>
                <w:sz w:val="24"/>
                <w:highlight w:val="none"/>
              </w:rPr>
              <w:t>适用性：适用于重症医学科开展回顾队列整理与前瞻登记；首期可不对接医院信息系统，资料可本地导入，降低入网与集成面；二期可按院方规划对接影像或采集。贴牌一体机交付，不改造医生办公电脑，不占用床旁监护工位，科室侧主要需供电、有线进内网及信息部门分配网络策略。</w:t>
            </w:r>
          </w:p>
          <w:p>
            <w:pPr>
              <w:spacing w:line="600" w:lineRule="auto"/>
              <w:jc w:val="left"/>
              <w:rPr>
                <w:rFonts w:hint="eastAsia" w:eastAsia="宋体"/>
                <w:color w:val="auto"/>
                <w:sz w:val="24"/>
                <w:highlight w:val="none"/>
                <w:lang w:eastAsia="zh-CN"/>
              </w:rPr>
            </w:pPr>
            <w:r>
              <w:rPr>
                <w:rFonts w:hint="eastAsia"/>
                <w:color w:val="auto"/>
                <w:sz w:val="24"/>
                <w:highlight w:val="none"/>
              </w:rPr>
              <w:t>经济性与意义：预算45万元/套，以科室级可验收交付形成重症专病科研能力，相对全院级大规模科研数据中心项目门槛更低、周期更短，服务重症医学科专科建设、课题申报与高水平论文产出。</w:t>
            </w:r>
          </w:p>
          <w:p>
            <w:pPr>
              <w:spacing w:line="600" w:lineRule="auto"/>
              <w:jc w:val="left"/>
              <w:rPr>
                <w:rFonts w:hint="eastAsia" w:eastAsia="宋体"/>
                <w:color w:val="auto"/>
                <w:sz w:val="24"/>
                <w:highlight w:val="none"/>
                <w:lang w:eastAsia="zh-CN"/>
              </w:rPr>
            </w:pPr>
            <w:r>
              <w:rPr>
                <w:rFonts w:hint="eastAsia"/>
                <w:color w:val="auto"/>
                <w:sz w:val="24"/>
                <w:highlight w:val="none"/>
              </w:rPr>
              <w:t>现有工作基础：本科室具备重症临床与教学科研团队及日常监护、病历与影像资料基础，尚缺少统一的专病结构化建库与科研出数工作站，故申请购置本设备。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10380" w:type="dxa"/>
            <w:gridSpan w:val="4"/>
            <w:noWrap w:val="0"/>
            <w:vAlign w:val="top"/>
          </w:tcPr>
          <w:p>
            <w:pPr>
              <w:spacing w:line="600" w:lineRule="auto"/>
              <w:jc w:val="left"/>
              <w:rPr>
                <w:rFonts w:hint="eastAsia" w:eastAsia="宋体"/>
                <w:color w:val="auto"/>
                <w:sz w:val="24"/>
                <w:highlight w:val="none"/>
                <w:lang w:eastAsia="zh-CN"/>
              </w:rPr>
            </w:pPr>
            <w:r>
              <w:rPr>
                <w:rFonts w:hint="eastAsia"/>
                <w:color w:val="auto"/>
                <w:sz w:val="24"/>
                <w:highlight w:val="none"/>
              </w:rPr>
              <w:t>同类型设备在本科室的配置、使用情况</w:t>
            </w:r>
            <w:r>
              <w:rPr>
                <w:rFonts w:hint="eastAsia"/>
                <w:color w:val="auto"/>
                <w:sz w:val="24"/>
                <w:highlight w:val="none"/>
                <w:lang w:eastAsia="zh-CN"/>
              </w:rPr>
              <w:t>：</w:t>
            </w:r>
          </w:p>
          <w:p>
            <w:pPr>
              <w:spacing w:line="600" w:lineRule="auto"/>
              <w:jc w:val="left"/>
              <w:rPr>
                <w:rFonts w:hint="eastAsia"/>
                <w:color w:val="auto"/>
                <w:sz w:val="24"/>
                <w:highlight w:val="none"/>
              </w:rPr>
            </w:pPr>
            <w:r>
              <w:rPr>
                <w:rFonts w:hint="eastAsia"/>
                <w:color w:val="auto"/>
                <w:sz w:val="24"/>
                <w:highlight w:val="none"/>
              </w:rPr>
              <w:t>（务必将明细填报清楚）</w:t>
            </w:r>
          </w:p>
          <w:p>
            <w:pPr>
              <w:spacing w:line="600" w:lineRule="auto"/>
              <w:jc w:val="left"/>
              <w:rPr>
                <w:rFonts w:hint="eastAsia"/>
                <w:color w:val="auto"/>
                <w:sz w:val="24"/>
                <w:highlight w:val="none"/>
              </w:rPr>
            </w:pPr>
            <w:r>
              <w:rPr>
                <w:rFonts w:hint="eastAsia"/>
                <w:color w:val="auto"/>
                <w:sz w:val="24"/>
                <w:highlight w:val="none"/>
              </w:rPr>
              <w:t>本科室目前无同类型专病科研数据与阅片一体化工作站。既有办公电脑、医院信息系统及床旁监护与呼吸治疗设备主要用于诊疗监护与文书工作，不具备重症专病结构化建库、随访质控、队列出数及科研影像与病例闭环管理能力。本次属开展新项目必备增添，非监护或生命支持类设备更新，亦非简单重复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10380" w:type="dxa"/>
            <w:gridSpan w:val="4"/>
            <w:noWrap w:val="0"/>
            <w:vAlign w:val="top"/>
          </w:tcPr>
          <w:p>
            <w:pPr>
              <w:spacing w:line="600" w:lineRule="auto"/>
              <w:jc w:val="left"/>
              <w:rPr>
                <w:rFonts w:hint="eastAsia"/>
                <w:color w:val="auto"/>
                <w:sz w:val="24"/>
              </w:rPr>
            </w:pPr>
            <w:r>
              <w:rPr>
                <w:rFonts w:hint="eastAsia"/>
                <w:color w:val="auto"/>
                <w:sz w:val="24"/>
              </w:rPr>
              <w:t>配置要求及功能要求：</w:t>
            </w:r>
          </w:p>
          <w:p>
            <w:pPr>
              <w:spacing w:line="600" w:lineRule="auto"/>
              <w:jc w:val="left"/>
              <w:rPr>
                <w:rFonts w:hint="eastAsia"/>
                <w:color w:val="auto"/>
                <w:sz w:val="24"/>
              </w:rPr>
            </w:pPr>
            <w:r>
              <w:rPr>
                <w:rFonts w:hint="eastAsia"/>
                <w:color w:val="auto"/>
                <w:sz w:val="24"/>
              </w:rPr>
              <w:t>1.国产贴牌软硬一体机1套，预装专病数据管理、科研阅片、采集能力及满足科研模型运行的算力配置。</w:t>
            </w:r>
          </w:p>
          <w:p>
            <w:pPr>
              <w:spacing w:line="600" w:lineRule="auto"/>
              <w:jc w:val="left"/>
              <w:rPr>
                <w:rFonts w:hint="eastAsia"/>
                <w:color w:val="auto"/>
                <w:sz w:val="24"/>
              </w:rPr>
            </w:pPr>
            <w:r>
              <w:rPr>
                <w:rFonts w:hint="eastAsia"/>
                <w:color w:val="auto"/>
                <w:sz w:val="24"/>
              </w:rPr>
              <w:t>2.支持重症专题字段包配置，具备病例建档、随访管理、完整性质控、检索筛选及统计与脱敏导出功能。</w:t>
            </w:r>
          </w:p>
          <w:p>
            <w:pPr>
              <w:spacing w:line="600" w:lineRule="auto"/>
              <w:jc w:val="left"/>
              <w:rPr>
                <w:rFonts w:hint="eastAsia"/>
                <w:color w:val="auto"/>
                <w:sz w:val="24"/>
              </w:rPr>
            </w:pPr>
            <w:r>
              <w:rPr>
                <w:rFonts w:hint="eastAsia"/>
                <w:color w:val="auto"/>
                <w:sz w:val="24"/>
              </w:rPr>
              <w:t>3.支持医学影像科研调阅、测量与病例关联；首期支持本地导入，后续可按医院审批对接影像系统。</w:t>
            </w:r>
          </w:p>
          <w:p>
            <w:pPr>
              <w:spacing w:line="600" w:lineRule="auto"/>
              <w:jc w:val="left"/>
              <w:rPr>
                <w:rFonts w:hint="eastAsia"/>
                <w:color w:val="auto"/>
                <w:sz w:val="24"/>
              </w:rPr>
            </w:pPr>
            <w:r>
              <w:rPr>
                <w:rFonts w:hint="eastAsia"/>
                <w:color w:val="auto"/>
                <w:sz w:val="24"/>
              </w:rPr>
              <w:t>4.支持院内有线部署、账号分权与操作审计，数据默认不出域；不替代电子病历/医院信息系统及床旁监护设备。</w:t>
            </w:r>
          </w:p>
          <w:p>
            <w:pPr>
              <w:spacing w:line="600" w:lineRule="auto"/>
              <w:jc w:val="left"/>
              <w:rPr>
                <w:rFonts w:hint="eastAsia"/>
                <w:color w:val="auto"/>
                <w:sz w:val="24"/>
              </w:rPr>
            </w:pPr>
            <w:r>
              <w:rPr>
                <w:rFonts w:hint="eastAsia"/>
                <w:color w:val="auto"/>
                <w:sz w:val="24"/>
              </w:rPr>
              <w:t>5.含安装调试、操作培训及质保服务（具体以合同为准）。</w:t>
            </w:r>
          </w:p>
          <w:p>
            <w:pPr>
              <w:spacing w:line="600" w:lineRule="auto"/>
              <w:jc w:val="left"/>
              <w:rPr>
                <w:rFonts w:hint="eastAsia"/>
                <w:color w:val="auto"/>
                <w:sz w:val="24"/>
              </w:rPr>
            </w:pPr>
            <w:r>
              <w:rPr>
                <w:rFonts w:hint="eastAsia"/>
                <w:color w:val="auto"/>
                <w:sz w:val="24"/>
              </w:rPr>
              <w:t>6.用途限定为科学研究与专病库建设，不用于临床诊疗决策。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80" w:type="dxa"/>
            <w:gridSpan w:val="4"/>
            <w:noWrap w:val="0"/>
            <w:vAlign w:val="top"/>
          </w:tcPr>
          <w:p>
            <w:pPr>
              <w:spacing w:line="600" w:lineRule="auto"/>
              <w:jc w:val="left"/>
              <w:rPr>
                <w:rFonts w:hint="eastAsia"/>
                <w:color w:val="auto"/>
                <w:sz w:val="24"/>
                <w:highlight w:val="none"/>
              </w:rPr>
            </w:pPr>
            <w:r>
              <w:rPr>
                <w:rFonts w:hint="eastAsia"/>
                <w:color w:val="auto"/>
                <w:sz w:val="24"/>
                <w:highlight w:val="none"/>
              </w:rPr>
              <w:t>市场应用状况（如为单一来源在此具体说明）：</w:t>
            </w:r>
          </w:p>
          <w:p>
            <w:pPr>
              <w:spacing w:line="600" w:lineRule="auto"/>
              <w:jc w:val="left"/>
              <w:rPr>
                <w:rFonts w:hint="eastAsia"/>
                <w:color w:val="auto"/>
                <w:sz w:val="24"/>
                <w:highlight w:val="none"/>
              </w:rPr>
            </w:pPr>
            <w:r>
              <w:rPr>
                <w:rFonts w:hint="eastAsia"/>
                <w:color w:val="auto"/>
                <w:sz w:val="24"/>
                <w:highlight w:val="none"/>
              </w:rPr>
              <w:t>国内专病库与科研数据平台已有联影数据、森亿智能、医渡科技、柯林布瑞、数坤科技等厂商及多家三级医院建设案例，公开能力多覆盖专病库、纳排检索、随访、质控、统计导出及影像关联等。全院级平台项目通常投资大、对接周期长。本科室申购的为重症医学科科室级软硬一体科研工作站，侧重专病闭环管理、可验收交付与可控入网范围，与全院数据平台及床旁监护信息化形成互补。采购方式按医院招标采购规定执行。</w:t>
            </w:r>
          </w:p>
          <w:tbl>
            <w:tblPr>
              <w:tblStyle w:val="3"/>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1"/>
              <w:gridCol w:w="1978"/>
              <w:gridCol w:w="1637"/>
              <w:gridCol w:w="2370"/>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561" w:type="dxa"/>
                  <w:vMerge w:val="restart"/>
                  <w:noWrap w:val="0"/>
                  <w:vAlign w:val="top"/>
                </w:tcPr>
                <w:p>
                  <w:pPr>
                    <w:spacing w:line="600" w:lineRule="auto"/>
                    <w:jc w:val="center"/>
                    <w:rPr>
                      <w:rFonts w:hint="default" w:eastAsia="宋体"/>
                      <w:color w:val="auto"/>
                      <w:sz w:val="24"/>
                      <w:highlight w:val="none"/>
                      <w:vertAlign w:val="baseline"/>
                      <w:lang w:val="en-US" w:eastAsia="zh-CN"/>
                    </w:rPr>
                  </w:pPr>
                  <w:r>
                    <w:rPr>
                      <w:rFonts w:hint="eastAsia"/>
                      <w:b/>
                      <w:bCs/>
                      <w:color w:val="auto"/>
                      <w:sz w:val="24"/>
                      <w:highlight w:val="none"/>
                      <w:vertAlign w:val="baseline"/>
                      <w:lang w:val="en-US" w:eastAsia="zh-CN"/>
                    </w:rPr>
                    <w:t>推荐品牌同类设备省内外医院采购价</w:t>
                  </w:r>
                </w:p>
              </w:tc>
              <w:tc>
                <w:tcPr>
                  <w:tcW w:w="1978" w:type="dxa"/>
                  <w:noWrap w:val="0"/>
                  <w:vAlign w:val="top"/>
                </w:tcPr>
                <w:p>
                  <w:pPr>
                    <w:spacing w:line="600" w:lineRule="auto"/>
                    <w:jc w:val="center"/>
                    <w:rPr>
                      <w:rFonts w:hint="eastAsia" w:eastAsia="宋体"/>
                      <w:b/>
                      <w:bCs/>
                      <w:color w:val="auto"/>
                      <w:sz w:val="24"/>
                      <w:highlight w:val="none"/>
                      <w:vertAlign w:val="baseline"/>
                      <w:lang w:val="en-US" w:eastAsia="zh-CN"/>
                    </w:rPr>
                  </w:pPr>
                  <w:r>
                    <w:rPr>
                      <w:rFonts w:hint="eastAsia"/>
                      <w:b/>
                      <w:bCs/>
                      <w:color w:val="auto"/>
                      <w:sz w:val="24"/>
                      <w:highlight w:val="none"/>
                      <w:vertAlign w:val="baseline"/>
                      <w:lang w:val="en-US" w:eastAsia="zh-CN"/>
                    </w:rPr>
                    <w:t>采购单位</w:t>
                  </w:r>
                </w:p>
              </w:tc>
              <w:tc>
                <w:tcPr>
                  <w:tcW w:w="1637" w:type="dxa"/>
                  <w:noWrap w:val="0"/>
                  <w:vAlign w:val="top"/>
                </w:tcPr>
                <w:p>
                  <w:pPr>
                    <w:spacing w:line="600" w:lineRule="auto"/>
                    <w:jc w:val="center"/>
                    <w:rPr>
                      <w:rFonts w:hint="eastAsia" w:eastAsia="宋体"/>
                      <w:b/>
                      <w:bCs/>
                      <w:color w:val="auto"/>
                      <w:sz w:val="24"/>
                      <w:highlight w:val="none"/>
                      <w:vertAlign w:val="baseline"/>
                      <w:lang w:val="en-US" w:eastAsia="zh-CN"/>
                    </w:rPr>
                  </w:pPr>
                  <w:r>
                    <w:rPr>
                      <w:rFonts w:hint="eastAsia"/>
                      <w:b/>
                      <w:bCs/>
                      <w:color w:val="auto"/>
                      <w:sz w:val="24"/>
                      <w:highlight w:val="none"/>
                      <w:vertAlign w:val="baseline"/>
                      <w:lang w:val="en-US" w:eastAsia="zh-CN"/>
                    </w:rPr>
                    <w:t>采购时间</w:t>
                  </w:r>
                </w:p>
              </w:tc>
              <w:tc>
                <w:tcPr>
                  <w:tcW w:w="2370" w:type="dxa"/>
                  <w:noWrap w:val="0"/>
                  <w:vAlign w:val="top"/>
                </w:tcPr>
                <w:p>
                  <w:pPr>
                    <w:spacing w:line="600" w:lineRule="auto"/>
                    <w:jc w:val="center"/>
                    <w:rPr>
                      <w:rFonts w:hint="default"/>
                      <w:b/>
                      <w:bCs/>
                      <w:color w:val="auto"/>
                      <w:sz w:val="24"/>
                      <w:highlight w:val="none"/>
                      <w:vertAlign w:val="baseline"/>
                      <w:lang w:val="en-US" w:eastAsia="zh-CN"/>
                    </w:rPr>
                  </w:pPr>
                  <w:r>
                    <w:rPr>
                      <w:rFonts w:hint="eastAsia"/>
                      <w:b/>
                      <w:bCs/>
                      <w:color w:val="auto"/>
                      <w:sz w:val="24"/>
                      <w:highlight w:val="none"/>
                      <w:vertAlign w:val="baseline"/>
                      <w:lang w:val="en-US" w:eastAsia="zh-CN"/>
                    </w:rPr>
                    <w:t>品牌型号</w:t>
                  </w:r>
                </w:p>
              </w:tc>
              <w:tc>
                <w:tcPr>
                  <w:tcW w:w="2132" w:type="dxa"/>
                  <w:noWrap w:val="0"/>
                  <w:vAlign w:val="top"/>
                </w:tcPr>
                <w:p>
                  <w:pPr>
                    <w:spacing w:line="600" w:lineRule="auto"/>
                    <w:jc w:val="center"/>
                    <w:rPr>
                      <w:rFonts w:hint="eastAsia"/>
                      <w:b/>
                      <w:bCs/>
                      <w:color w:val="auto"/>
                      <w:sz w:val="24"/>
                      <w:highlight w:val="none"/>
                      <w:vertAlign w:val="baseline"/>
                    </w:rPr>
                  </w:pPr>
                  <w:r>
                    <w:rPr>
                      <w:rFonts w:hint="eastAsia"/>
                      <w:b/>
                      <w:bCs/>
                      <w:color w:val="auto"/>
                      <w:sz w:val="21"/>
                      <w:szCs w:val="21"/>
                      <w:highlight w:val="none"/>
                      <w:vertAlign w:val="baseline"/>
                      <w:lang w:val="en-US" w:eastAsia="zh-CN"/>
                    </w:rPr>
                    <w:t>采购金额（万元）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561" w:type="dxa"/>
                  <w:vMerge w:val="continue"/>
                  <w:noWrap w:val="0"/>
                  <w:vAlign w:val="top"/>
                </w:tcPr>
                <w:p>
                  <w:pPr>
                    <w:spacing w:line="600" w:lineRule="auto"/>
                    <w:jc w:val="left"/>
                    <w:rPr>
                      <w:rFonts w:hint="eastAsia"/>
                      <w:color w:val="auto"/>
                      <w:sz w:val="24"/>
                      <w:highlight w:val="none"/>
                      <w:vertAlign w:val="baseline"/>
                    </w:rPr>
                  </w:pPr>
                  <w:r>
                    <w:t>本品申购配置</w:t>
                  </w:r>
                </w:p>
              </w:tc>
              <w:tc>
                <w:tcPr>
                  <w:tcW w:w="1978" w:type="dxa"/>
                  <w:noWrap w:val="0"/>
                  <w:vAlign w:val="top"/>
                </w:tcPr>
                <w:p>
                  <w:pPr>
                    <w:spacing w:line="600" w:lineRule="auto"/>
                    <w:jc w:val="left"/>
                    <w:rPr>
                      <w:rFonts w:hint="eastAsia"/>
                      <w:color w:val="auto"/>
                      <w:sz w:val="24"/>
                      <w:highlight w:val="none"/>
                      <w:vertAlign w:val="baseline"/>
                    </w:rPr>
                  </w:pPr>
                  <w:r>
                    <w:t>湖南医药学院总医院（拟）</w:t>
                  </w:r>
                </w:p>
              </w:tc>
              <w:tc>
                <w:tcPr>
                  <w:tcW w:w="1637" w:type="dxa"/>
                  <w:noWrap w:val="0"/>
                  <w:vAlign w:val="top"/>
                </w:tcPr>
                <w:p>
                  <w:pPr>
                    <w:spacing w:line="600" w:lineRule="auto"/>
                    <w:jc w:val="left"/>
                    <w:rPr>
                      <w:rFonts w:hint="eastAsia"/>
                      <w:color w:val="auto"/>
                      <w:sz w:val="24"/>
                      <w:highlight w:val="none"/>
                      <w:vertAlign w:val="baseline"/>
                    </w:rPr>
                  </w:pPr>
                  <w:r>
                    <w:t>2026</w:t>
                  </w:r>
                </w:p>
              </w:tc>
              <w:tc>
                <w:tcPr>
                  <w:tcW w:w="2370" w:type="dxa"/>
                  <w:noWrap w:val="0"/>
                  <w:vAlign w:val="top"/>
                </w:tcPr>
                <w:p>
                  <w:pPr>
                    <w:spacing w:line="600" w:lineRule="auto"/>
                    <w:jc w:val="left"/>
                    <w:rPr>
                      <w:rFonts w:hint="eastAsia"/>
                      <w:color w:val="auto"/>
                      <w:sz w:val="24"/>
                      <w:highlight w:val="none"/>
                      <w:vertAlign w:val="baseline"/>
                    </w:rPr>
                  </w:pPr>
                  <w:r>
                    <w:t>Essence Research 前沿突破站</w:t>
                  </w:r>
                </w:p>
              </w:tc>
              <w:tc>
                <w:tcPr>
                  <w:tcW w:w="2132" w:type="dxa"/>
                  <w:noWrap w:val="0"/>
                  <w:vAlign w:val="top"/>
                </w:tcPr>
                <w:p>
                  <w:pPr>
                    <w:spacing w:line="600" w:lineRule="auto"/>
                    <w:jc w:val="left"/>
                    <w:rPr>
                      <w:rFonts w:hint="eastAsia"/>
                      <w:color w:val="auto"/>
                      <w:sz w:val="24"/>
                      <w:highlight w:val="none"/>
                      <w:vertAlign w:val="baseline"/>
                    </w:rPr>
                  </w:pPr>
                  <w: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561" w:type="dxa"/>
                  <w:vMerge w:val="continue"/>
                  <w:noWrap w:val="0"/>
                  <w:vAlign w:val="top"/>
                </w:tcPr>
                <w:p>
                  <w:pPr>
                    <w:spacing w:line="600" w:lineRule="auto"/>
                    <w:jc w:val="left"/>
                    <w:rPr>
                      <w:rFonts w:hint="eastAsia"/>
                      <w:color w:val="auto"/>
                      <w:sz w:val="24"/>
                      <w:highlight w:val="none"/>
                      <w:vertAlign w:val="baseline"/>
                    </w:rPr>
                  </w:pPr>
                  <w:r>
                    <w:t>同类平台参照</w:t>
                  </w:r>
                </w:p>
              </w:tc>
              <w:tc>
                <w:tcPr>
                  <w:tcW w:w="1978" w:type="dxa"/>
                  <w:noWrap w:val="0"/>
                  <w:vAlign w:val="top"/>
                </w:tcPr>
                <w:p>
                  <w:pPr>
                    <w:spacing w:line="600" w:lineRule="auto"/>
                    <w:jc w:val="left"/>
                    <w:rPr>
                      <w:rFonts w:hint="eastAsia"/>
                      <w:color w:val="auto"/>
                      <w:sz w:val="24"/>
                      <w:highlight w:val="none"/>
                      <w:vertAlign w:val="baseline"/>
                    </w:rPr>
                  </w:pPr>
                  <w:r>
                    <w:t>国内多家三甲（公开案例口径）</w:t>
                  </w:r>
                </w:p>
              </w:tc>
              <w:tc>
                <w:tcPr>
                  <w:tcW w:w="1637" w:type="dxa"/>
                  <w:noWrap w:val="0"/>
                  <w:vAlign w:val="top"/>
                </w:tcPr>
                <w:p>
                  <w:pPr>
                    <w:spacing w:line="600" w:lineRule="auto"/>
                    <w:jc w:val="left"/>
                    <w:rPr>
                      <w:rFonts w:hint="eastAsia"/>
                      <w:color w:val="auto"/>
                      <w:sz w:val="24"/>
                      <w:highlight w:val="none"/>
                      <w:vertAlign w:val="baseline"/>
                    </w:rPr>
                  </w:pPr>
                  <w:r>
                    <w:t>近年</w:t>
                  </w:r>
                </w:p>
              </w:tc>
              <w:tc>
                <w:tcPr>
                  <w:tcW w:w="2370" w:type="dxa"/>
                  <w:noWrap w:val="0"/>
                  <w:vAlign w:val="top"/>
                </w:tcPr>
                <w:p>
                  <w:pPr>
                    <w:spacing w:line="600" w:lineRule="auto"/>
                    <w:jc w:val="left"/>
                    <w:rPr>
                      <w:rFonts w:hint="eastAsia"/>
                      <w:color w:val="auto"/>
                      <w:sz w:val="24"/>
                      <w:highlight w:val="none"/>
                      <w:vertAlign w:val="baseline"/>
                    </w:rPr>
                  </w:pPr>
                  <w:r>
                    <w:t>联影数据专病科研平台等</w:t>
                  </w:r>
                </w:p>
              </w:tc>
              <w:tc>
                <w:tcPr>
                  <w:tcW w:w="2132" w:type="dxa"/>
                  <w:noWrap w:val="0"/>
                  <w:vAlign w:val="top"/>
                </w:tcPr>
                <w:p>
                  <w:pPr>
                    <w:spacing w:line="600" w:lineRule="auto"/>
                    <w:jc w:val="left"/>
                    <w:rPr>
                      <w:rFonts w:hint="eastAsia"/>
                      <w:color w:val="auto"/>
                      <w:sz w:val="24"/>
                      <w:highlight w:val="none"/>
                      <w:vertAlign w:val="baseline"/>
                    </w:rPr>
                  </w:pPr>
                  <w:r>
                    <w:t>全院级项目常见为更高量级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561" w:type="dxa"/>
                  <w:vMerge w:val="continue"/>
                  <w:noWrap w:val="0"/>
                  <w:vAlign w:val="top"/>
                </w:tcPr>
                <w:p>
                  <w:pPr>
                    <w:spacing w:line="600" w:lineRule="auto"/>
                    <w:jc w:val="left"/>
                    <w:rPr>
                      <w:rFonts w:hint="eastAsia"/>
                      <w:color w:val="auto"/>
                      <w:sz w:val="24"/>
                      <w:highlight w:val="none"/>
                      <w:vertAlign w:val="baseline"/>
                    </w:rPr>
                  </w:pPr>
                  <w:r>
                    <w:t>同类平台参照</w:t>
                  </w:r>
                </w:p>
              </w:tc>
              <w:tc>
                <w:tcPr>
                  <w:tcW w:w="1978" w:type="dxa"/>
                  <w:noWrap w:val="0"/>
                  <w:vAlign w:val="top"/>
                </w:tcPr>
                <w:p>
                  <w:pPr>
                    <w:spacing w:line="600" w:lineRule="auto"/>
                    <w:jc w:val="left"/>
                    <w:rPr>
                      <w:rFonts w:hint="eastAsia"/>
                      <w:color w:val="auto"/>
                      <w:sz w:val="24"/>
                      <w:highlight w:val="none"/>
                      <w:vertAlign w:val="baseline"/>
                    </w:rPr>
                  </w:pPr>
                  <w:r>
                    <w:t>国内多家三甲（公开案例口径）</w:t>
                  </w:r>
                </w:p>
              </w:tc>
              <w:tc>
                <w:tcPr>
                  <w:tcW w:w="1637" w:type="dxa"/>
                  <w:noWrap w:val="0"/>
                  <w:vAlign w:val="top"/>
                </w:tcPr>
                <w:p>
                  <w:pPr>
                    <w:spacing w:line="600" w:lineRule="auto"/>
                    <w:jc w:val="left"/>
                    <w:rPr>
                      <w:rFonts w:hint="eastAsia"/>
                      <w:color w:val="auto"/>
                      <w:sz w:val="24"/>
                      <w:highlight w:val="none"/>
                      <w:vertAlign w:val="baseline"/>
                    </w:rPr>
                  </w:pPr>
                  <w:r>
                    <w:t>近年</w:t>
                  </w:r>
                </w:p>
              </w:tc>
              <w:tc>
                <w:tcPr>
                  <w:tcW w:w="2370" w:type="dxa"/>
                  <w:noWrap w:val="0"/>
                  <w:vAlign w:val="top"/>
                </w:tcPr>
                <w:p>
                  <w:pPr>
                    <w:spacing w:line="600" w:lineRule="auto"/>
                    <w:jc w:val="left"/>
                    <w:rPr>
                      <w:rFonts w:hint="eastAsia"/>
                      <w:color w:val="auto"/>
                      <w:sz w:val="24"/>
                      <w:highlight w:val="none"/>
                      <w:vertAlign w:val="baseline"/>
                    </w:rPr>
                  </w:pPr>
                  <w:r>
                    <w:t>森亿智能专病库等</w:t>
                  </w:r>
                </w:p>
              </w:tc>
              <w:tc>
                <w:tcPr>
                  <w:tcW w:w="2132" w:type="dxa"/>
                  <w:noWrap w:val="0"/>
                  <w:vAlign w:val="top"/>
                </w:tcPr>
                <w:p>
                  <w:pPr>
                    <w:spacing w:line="600" w:lineRule="auto"/>
                    <w:jc w:val="left"/>
                    <w:rPr>
                      <w:rFonts w:hint="eastAsia"/>
                      <w:color w:val="auto"/>
                      <w:sz w:val="24"/>
                      <w:highlight w:val="none"/>
                      <w:vertAlign w:val="baseline"/>
                    </w:rPr>
                  </w:pPr>
                  <w:r>
                    <w:t>全院级项目常见为更高量级</w:t>
                  </w:r>
                </w:p>
              </w:tc>
            </w:tr>
          </w:tbl>
          <w:p>
            <w:pPr>
              <w:spacing w:line="600" w:lineRule="auto"/>
              <w:jc w:val="left"/>
              <w:rPr>
                <w:rFonts w:hint="default" w:eastAsia="宋体"/>
                <w:b/>
                <w:bCs/>
                <w:color w:val="auto"/>
                <w:sz w:val="24"/>
                <w:highlight w:val="none"/>
                <w:lang w:val="en-US" w:eastAsia="zh-CN"/>
              </w:rPr>
            </w:pPr>
            <w:r>
              <w:rPr>
                <w:rFonts w:hint="eastAsia"/>
                <w:b/>
                <w:bCs/>
                <w:color w:val="auto"/>
                <w:sz w:val="24"/>
                <w:highlight w:val="none"/>
                <w:lang w:val="en-US" w:eastAsia="zh-CN"/>
              </w:rPr>
              <w:t>其他应用情况：</w:t>
            </w:r>
            <w:r>
              <w:rPr>
                <w:rFonts w:hint="eastAsia"/>
                <w:b/>
                <w:bCs/>
                <w:color w:val="auto"/>
                <w:sz w:val="24"/>
                <w:highlight w:val="none"/>
                <w:lang w:val="en-US" w:eastAsia="zh-CN"/>
              </w:rPr>
              <w:t>同类专病科研数据能力已在多家三级医院以平台或专科项目形式应用；本方案聚焦重症医学科可独立部署与验收的工作站交付。</w:t>
            </w:r>
          </w:p>
          <w:p>
            <w:pPr>
              <w:spacing w:line="600" w:lineRule="auto"/>
              <w:jc w:val="left"/>
              <w:rPr>
                <w:rFonts w:hint="eastAsia"/>
                <w:color w:val="auto"/>
                <w:sz w:val="24"/>
                <w:highlight w:val="none"/>
              </w:rPr>
            </w:pPr>
          </w:p>
          <w:p>
            <w:pPr>
              <w:spacing w:line="600" w:lineRule="auto"/>
              <w:jc w:val="left"/>
              <w:rPr>
                <w:rFonts w:hint="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80" w:type="dxa"/>
            <w:gridSpan w:val="4"/>
            <w:noWrap w:val="0"/>
            <w:vAlign w:val="top"/>
          </w:tcPr>
          <w:p>
            <w:pPr>
              <w:spacing w:line="600" w:lineRule="auto"/>
              <w:jc w:val="left"/>
              <w:rPr>
                <w:rFonts w:hint="eastAsia" w:ascii="宋体" w:hAnsi="宋体"/>
                <w:color w:val="auto"/>
                <w:sz w:val="24"/>
              </w:rPr>
            </w:pPr>
            <w:r>
              <w:rPr>
                <w:rFonts w:hint="eastAsia" w:ascii="宋体" w:hAnsi="宋体"/>
                <w:color w:val="auto"/>
                <w:sz w:val="24"/>
              </w:rPr>
              <w:t>申购的仪器设备的经济效益预测：</w:t>
            </w:r>
          </w:p>
          <w:p>
            <w:pPr>
              <w:numPr>
                <w:ilvl w:val="0"/>
                <w:numId w:val="1"/>
              </w:numPr>
              <w:spacing w:line="360" w:lineRule="auto"/>
              <w:jc w:val="left"/>
              <w:rPr>
                <w:rFonts w:hint="eastAsia" w:ascii="宋体" w:hAnsi="宋体"/>
                <w:color w:val="auto"/>
                <w:sz w:val="24"/>
              </w:rPr>
            </w:pPr>
            <w:r>
              <w:rPr>
                <w:rFonts w:hint="eastAsia" w:ascii="宋体" w:hAnsi="宋体"/>
                <w:color w:val="auto"/>
                <w:sz w:val="24"/>
              </w:rPr>
              <w:t>预计使用年限： 8 年</w:t>
            </w:r>
          </w:p>
          <w:p>
            <w:pPr>
              <w:numPr>
                <w:ilvl w:val="0"/>
                <w:numId w:val="1"/>
              </w:numPr>
              <w:spacing w:line="360" w:lineRule="auto"/>
              <w:jc w:val="left"/>
              <w:rPr>
                <w:rFonts w:hint="eastAsia" w:ascii="宋体" w:hAnsi="宋体"/>
                <w:color w:val="auto"/>
                <w:sz w:val="24"/>
              </w:rPr>
            </w:pPr>
            <w:r>
              <w:rPr>
                <w:rFonts w:hint="eastAsia" w:ascii="宋体" w:hAnsi="宋体"/>
                <w:color w:val="auto"/>
                <w:sz w:val="24"/>
              </w:rPr>
              <w:t>收费项目名称：</w:t>
            </w:r>
            <w:r>
              <w:rPr>
                <w:rFonts w:hint="eastAsia" w:ascii="宋体" w:hAnsi="宋体"/>
                <w:color w:val="auto"/>
                <w:sz w:val="24"/>
              </w:rPr>
              <w:t>无</w:t>
            </w:r>
          </w:p>
          <w:p>
            <w:pPr>
              <w:numPr>
                <w:ilvl w:val="0"/>
                <w:numId w:val="1"/>
              </w:numPr>
              <w:spacing w:line="360" w:lineRule="auto"/>
              <w:jc w:val="left"/>
              <w:rPr>
                <w:rFonts w:hint="eastAsia" w:ascii="宋体" w:hAnsi="宋体"/>
                <w:color w:val="auto"/>
                <w:sz w:val="24"/>
              </w:rPr>
            </w:pPr>
            <w:r>
              <w:rPr>
                <w:rFonts w:hint="eastAsia" w:ascii="宋体" w:hAnsi="宋体"/>
                <w:color w:val="auto"/>
                <w:sz w:val="24"/>
              </w:rPr>
              <w:t>收费编码：</w:t>
            </w:r>
            <w:r>
              <w:rPr>
                <w:rFonts w:hint="eastAsia" w:ascii="宋体" w:hAnsi="宋体"/>
                <w:color w:val="auto"/>
                <w:sz w:val="24"/>
              </w:rPr>
              <w:t>无</w:t>
            </w:r>
          </w:p>
          <w:p>
            <w:pPr>
              <w:numPr>
                <w:ilvl w:val="0"/>
                <w:numId w:val="1"/>
              </w:numPr>
              <w:spacing w:line="360" w:lineRule="auto"/>
              <w:jc w:val="left"/>
              <w:rPr>
                <w:rFonts w:hint="eastAsia" w:ascii="宋体" w:hAnsi="宋体"/>
                <w:color w:val="auto"/>
                <w:sz w:val="24"/>
              </w:rPr>
            </w:pPr>
            <w:r>
              <w:rPr>
                <w:rFonts w:hint="eastAsia" w:ascii="宋体" w:hAnsi="宋体"/>
                <w:color w:val="auto"/>
                <w:sz w:val="24"/>
              </w:rPr>
              <w:t xml:space="preserve">收费标准： 无</w:t>
            </w:r>
          </w:p>
          <w:p>
            <w:pPr>
              <w:numPr>
                <w:ilvl w:val="0"/>
                <w:numId w:val="1"/>
              </w:numPr>
              <w:spacing w:line="360" w:lineRule="auto"/>
              <w:jc w:val="left"/>
              <w:rPr>
                <w:rFonts w:hint="eastAsia" w:ascii="宋体" w:hAnsi="宋体"/>
                <w:color w:val="auto"/>
                <w:sz w:val="24"/>
              </w:rPr>
            </w:pPr>
            <w:r>
              <w:rPr>
                <w:rFonts w:hint="eastAsia" w:ascii="宋体" w:hAnsi="宋体"/>
                <w:color w:val="auto"/>
                <w:sz w:val="24"/>
              </w:rPr>
              <w:t>预计年经济收入： 0 元</w:t>
            </w:r>
          </w:p>
          <w:p>
            <w:pPr>
              <w:numPr>
                <w:ilvl w:val="0"/>
                <w:numId w:val="1"/>
              </w:numPr>
              <w:spacing w:line="360" w:lineRule="auto"/>
              <w:jc w:val="left"/>
              <w:rPr>
                <w:rFonts w:hint="eastAsia" w:ascii="宋体" w:hAnsi="宋体"/>
                <w:color w:val="auto"/>
                <w:sz w:val="24"/>
              </w:rPr>
            </w:pPr>
            <w:r>
              <w:rPr>
                <w:rFonts w:hint="eastAsia" w:ascii="宋体" w:hAnsi="宋体"/>
                <w:color w:val="auto"/>
                <w:sz w:val="24"/>
              </w:rPr>
              <w:t>年维修、消耗费用估计： 10000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10380" w:type="dxa"/>
            <w:gridSpan w:val="4"/>
            <w:noWrap w:val="0"/>
            <w:vAlign w:val="top"/>
          </w:tcPr>
          <w:p>
            <w:pPr>
              <w:jc w:val="left"/>
              <w:rPr>
                <w:rFonts w:hint="eastAsia" w:ascii="宋体" w:hAnsi="宋体"/>
                <w:color w:val="auto"/>
                <w:sz w:val="24"/>
              </w:rPr>
            </w:pPr>
            <w:r>
              <w:rPr>
                <w:rFonts w:hint="eastAsia" w:ascii="宋体" w:hAnsi="宋体"/>
                <w:color w:val="auto"/>
                <w:sz w:val="24"/>
              </w:rPr>
              <w:t>配套耗材：</w:t>
            </w:r>
          </w:p>
          <w:p>
            <w:pPr>
              <w:numPr>
                <w:ilvl w:val="0"/>
                <w:numId w:val="2"/>
              </w:numPr>
              <w:spacing w:line="360" w:lineRule="auto"/>
              <w:jc w:val="left"/>
              <w:rPr>
                <w:rFonts w:hint="eastAsia" w:ascii="宋体" w:hAnsi="宋体"/>
                <w:color w:val="auto"/>
                <w:sz w:val="24"/>
              </w:rPr>
            </w:pPr>
            <w:r>
              <w:rPr>
                <w:rFonts w:hint="eastAsia" w:ascii="宋体" w:hAnsi="宋体"/>
                <w:color w:val="auto"/>
                <w:sz w:val="24"/>
              </w:rPr>
              <w:t>有无配套耗材： 无    是否为封闭耗材： 否</w:t>
            </w:r>
          </w:p>
          <w:p>
            <w:pPr>
              <w:numPr>
                <w:ilvl w:val="0"/>
                <w:numId w:val="2"/>
              </w:numPr>
              <w:spacing w:line="360" w:lineRule="auto"/>
              <w:jc w:val="left"/>
              <w:rPr>
                <w:rFonts w:ascii="宋体" w:hAnsi="宋体"/>
                <w:color w:val="auto"/>
                <w:sz w:val="24"/>
              </w:rPr>
            </w:pPr>
            <w:r>
              <w:rPr>
                <w:rFonts w:hint="eastAsia" w:ascii="宋体" w:hAnsi="宋体"/>
                <w:color w:val="auto"/>
                <w:sz w:val="24"/>
              </w:rPr>
              <w:t>配套耗材名称：</w:t>
            </w:r>
            <w:r>
              <w:rPr>
                <w:rFonts w:hint="eastAsia" w:ascii="宋体" w:hAnsi="宋体"/>
                <w:color w:val="auto"/>
                <w:sz w:val="24"/>
              </w:rPr>
              <w:t>无</w:t>
            </w:r>
          </w:p>
          <w:p>
            <w:pPr>
              <w:numPr>
                <w:ilvl w:val="0"/>
                <w:numId w:val="2"/>
              </w:numPr>
              <w:spacing w:line="360" w:lineRule="auto"/>
              <w:jc w:val="left"/>
              <w:rPr>
                <w:rFonts w:ascii="宋体" w:hAnsi="宋体"/>
                <w:color w:val="auto"/>
                <w:sz w:val="24"/>
              </w:rPr>
            </w:pPr>
            <w:r>
              <w:rPr>
                <w:rFonts w:hint="eastAsia" w:ascii="宋体" w:hAnsi="宋体"/>
                <w:color w:val="auto"/>
                <w:sz w:val="24"/>
              </w:rPr>
              <w:t>配套耗材可否收费及具体收费标准：</w:t>
            </w:r>
            <w:r>
              <w:rPr>
                <w:rFonts w:hint="eastAsia" w:ascii="宋体" w:hAnsi="宋体"/>
                <w:color w:val="auto"/>
                <w:sz w:val="24"/>
              </w:rPr>
              <w:t>不涉及</w:t>
            </w:r>
          </w:p>
          <w:p>
            <w:pPr>
              <w:numPr>
                <w:ilvl w:val="0"/>
                <w:numId w:val="2"/>
              </w:numPr>
              <w:spacing w:line="360" w:lineRule="auto"/>
              <w:jc w:val="left"/>
              <w:rPr>
                <w:rFonts w:ascii="宋体" w:hAnsi="宋体"/>
                <w:color w:val="auto"/>
                <w:sz w:val="24"/>
              </w:rPr>
            </w:pPr>
            <w:r>
              <w:rPr>
                <w:rFonts w:hint="eastAsia" w:ascii="宋体" w:hAnsi="宋体"/>
                <w:color w:val="auto"/>
                <w:sz w:val="24"/>
              </w:rPr>
              <w:t>耗材收费占总项目收费比例：</w:t>
            </w:r>
            <w:r>
              <w:rPr>
                <w:rFonts w:hint="eastAsia" w:ascii="宋体" w:hAnsi="宋体"/>
                <w:color w:val="auto"/>
                <w:sz w:val="24"/>
              </w:rPr>
              <w:t>无</w:t>
            </w:r>
          </w:p>
          <w:p>
            <w:pPr>
              <w:numPr>
                <w:ilvl w:val="0"/>
                <w:numId w:val="2"/>
              </w:numPr>
              <w:spacing w:line="360" w:lineRule="auto"/>
              <w:jc w:val="left"/>
              <w:rPr>
                <w:rFonts w:ascii="宋体" w:hAnsi="宋体"/>
                <w:color w:val="auto"/>
                <w:sz w:val="24"/>
              </w:rPr>
            </w:pPr>
            <w:r>
              <w:rPr>
                <w:rFonts w:hint="eastAsia" w:ascii="宋体" w:hAnsi="宋体"/>
                <w:color w:val="auto"/>
                <w:sz w:val="24"/>
              </w:rPr>
              <w:t>耗材预算（单价）：</w:t>
            </w:r>
            <w:r>
              <w:rPr>
                <w:rFonts w:hint="eastAsia" w:ascii="宋体" w:hAnsi="宋体"/>
                <w:color w:val="auto"/>
                <w:sz w:val="24"/>
              </w:rPr>
              <w:t>无</w:t>
            </w:r>
          </w:p>
          <w:p>
            <w:pPr>
              <w:numPr>
                <w:ilvl w:val="0"/>
                <w:numId w:val="2"/>
              </w:numPr>
              <w:spacing w:line="360" w:lineRule="auto"/>
              <w:jc w:val="left"/>
              <w:rPr>
                <w:rFonts w:ascii="宋体" w:hAnsi="宋体"/>
                <w:color w:val="auto"/>
                <w:sz w:val="24"/>
              </w:rPr>
            </w:pPr>
            <w:r>
              <w:rPr>
                <w:rFonts w:hint="eastAsia" w:ascii="宋体" w:hAnsi="宋体"/>
                <w:color w:val="auto"/>
                <w:sz w:val="24"/>
              </w:rPr>
              <w:t>每年耗材预计使用量（人份）：</w:t>
            </w:r>
            <w:r>
              <w:rPr>
                <w:rFonts w:hint="eastAsia" w:ascii="宋体" w:hAnsi="宋体"/>
                <w:color w:val="auto"/>
                <w:sz w:val="24"/>
              </w:rPr>
              <w:t>无</w:t>
            </w:r>
          </w:p>
          <w:p>
            <w:pPr>
              <w:numPr>
                <w:ilvl w:val="0"/>
                <w:numId w:val="2"/>
              </w:numPr>
              <w:spacing w:line="360" w:lineRule="auto"/>
              <w:jc w:val="left"/>
              <w:rPr>
                <w:rFonts w:ascii="宋体" w:hAnsi="宋体"/>
                <w:color w:val="auto"/>
                <w:sz w:val="24"/>
              </w:rPr>
            </w:pPr>
            <w:r>
              <w:rPr>
                <w:rFonts w:hint="eastAsia" w:ascii="宋体" w:hAnsi="宋体"/>
                <w:color w:val="auto"/>
                <w:sz w:val="24"/>
              </w:rPr>
              <w:t>每年耗材预计使用金额（人份）：</w:t>
            </w:r>
            <w:r>
              <w:rPr>
                <w:rFonts w:hint="eastAsia" w:ascii="宋体" w:hAnsi="宋体"/>
                <w:color w:val="auto"/>
                <w:sz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trPr>
        <w:tc>
          <w:tcPr>
            <w:tcW w:w="10380" w:type="dxa"/>
            <w:gridSpan w:val="4"/>
            <w:noWrap w:val="0"/>
            <w:vAlign w:val="top"/>
          </w:tcPr>
          <w:p>
            <w:pPr>
              <w:spacing w:line="360" w:lineRule="auto"/>
              <w:jc w:val="left"/>
              <w:rPr>
                <w:rFonts w:hint="eastAsia" w:ascii="宋体" w:hAnsi="宋体"/>
                <w:color w:val="auto"/>
                <w:sz w:val="24"/>
              </w:rPr>
            </w:pPr>
            <w:r>
              <w:rPr>
                <w:rFonts w:hint="eastAsia" w:ascii="宋体" w:hAnsi="宋体"/>
                <w:color w:val="auto"/>
                <w:sz w:val="24"/>
              </w:rPr>
              <w:t>人员及场地配套条件：</w:t>
            </w:r>
          </w:p>
          <w:p>
            <w:pPr>
              <w:spacing w:line="360" w:lineRule="auto"/>
              <w:jc w:val="left"/>
              <w:rPr>
                <w:rFonts w:ascii="宋体" w:hAnsi="宋体"/>
                <w:color w:val="auto"/>
                <w:sz w:val="24"/>
              </w:rPr>
            </w:pPr>
            <w:r>
              <w:rPr>
                <w:rFonts w:hint="eastAsia" w:ascii="宋体" w:hAnsi="宋体"/>
                <w:color w:val="auto"/>
                <w:sz w:val="24"/>
              </w:rPr>
              <w:t>1、科室有无人员配备、培训情况：</w:t>
            </w:r>
            <w:r>
              <w:rPr>
                <w:rFonts w:hint="eastAsia" w:ascii="宋体" w:hAnsi="宋体"/>
                <w:color w:val="auto"/>
                <w:sz w:val="24"/>
              </w:rPr>
              <w:t>有。科室具备可使用本系统的医护与科研人员，供方负责安装与操作培训。</w:t>
            </w:r>
          </w:p>
          <w:p>
            <w:pPr>
              <w:spacing w:line="360" w:lineRule="auto"/>
              <w:jc w:val="left"/>
              <w:rPr>
                <w:rFonts w:hint="eastAsia" w:ascii="宋体" w:hAnsi="宋体"/>
                <w:color w:val="auto"/>
                <w:sz w:val="24"/>
              </w:rPr>
            </w:pPr>
            <w:r>
              <w:rPr>
                <w:rFonts w:hint="eastAsia" w:ascii="宋体" w:hAnsi="宋体"/>
                <w:color w:val="auto"/>
                <w:sz w:val="24"/>
              </w:rPr>
              <w:t>2、房屋等条件是否具备：</w:t>
            </w:r>
            <w:r>
              <w:rPr>
                <w:rFonts w:hint="eastAsia" w:ascii="宋体" w:hAnsi="宋体"/>
                <w:color w:val="auto"/>
                <w:sz w:val="24"/>
              </w:rPr>
              <w:t>具备。需重症医学科办公区或示教室级空间一处，供电与有线网络即可，不占用床旁监护工位。</w:t>
            </w:r>
          </w:p>
          <w:p>
            <w:pPr>
              <w:spacing w:line="360" w:lineRule="auto"/>
              <w:jc w:val="left"/>
              <w:rPr>
                <w:rFonts w:hint="eastAsia" w:ascii="宋体" w:hAnsi="宋体"/>
                <w:color w:val="auto"/>
                <w:sz w:val="24"/>
              </w:rPr>
            </w:pPr>
            <w:r>
              <w:rPr>
                <w:rFonts w:hint="eastAsia" w:ascii="宋体" w:hAnsi="宋体"/>
                <w:color w:val="auto"/>
                <w:sz w:val="24"/>
              </w:rPr>
              <w:t>3、有无排污放射等问题：</w:t>
            </w:r>
            <w:r>
              <w:rPr>
                <w:rFonts w:hint="eastAsia" w:ascii="宋体" w:hAnsi="宋体"/>
                <w:color w:val="auto"/>
                <w:sz w:val="24"/>
              </w:rPr>
              <w:t>无排污、无放射问题；本设备非大型影像主机，非生命支持类设备。</w:t>
            </w:r>
          </w:p>
          <w:p>
            <w:pPr>
              <w:spacing w:line="360" w:lineRule="auto"/>
              <w:jc w:val="left"/>
              <w:rPr>
                <w:rFonts w:hint="eastAsia" w:ascii="宋体" w:hAnsi="宋体"/>
                <w:color w:val="auto"/>
                <w:sz w:val="24"/>
              </w:rPr>
            </w:pPr>
            <w:r>
              <w:rPr>
                <w:rFonts w:hint="eastAsia" w:ascii="宋体" w:hAnsi="宋体"/>
                <w:color w:val="auto"/>
                <w:sz w:val="24"/>
              </w:rPr>
              <w:t>4、有何特殊要求：</w:t>
            </w:r>
            <w:r>
              <w:rPr>
                <w:rFonts w:hint="eastAsia" w:ascii="宋体" w:hAnsi="宋体"/>
                <w:color w:val="auto"/>
                <w:sz w:val="24"/>
              </w:rPr>
              <w:t>正式入网按医院信息部门及数据安全管理要求办理；建议有线接入并登记资产信息。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0380" w:type="dxa"/>
            <w:gridSpan w:val="4"/>
            <w:noWrap w:val="0"/>
            <w:vAlign w:val="top"/>
          </w:tcPr>
          <w:p>
            <w:pPr>
              <w:spacing w:line="600" w:lineRule="auto"/>
              <w:jc w:val="left"/>
              <w:rPr>
                <w:rFonts w:hint="eastAsia" w:ascii="宋体" w:hAnsi="宋体"/>
                <w:color w:val="auto"/>
                <w:sz w:val="24"/>
              </w:rPr>
            </w:pPr>
            <w:r>
              <w:rPr>
                <w:rFonts w:hint="eastAsia" w:ascii="宋体" w:hAnsi="宋体"/>
                <w:color w:val="auto"/>
                <w:sz w:val="24"/>
              </w:rPr>
              <w:t>资金来源（科室分摊）：</w:t>
            </w:r>
          </w:p>
          <w:p>
            <w:pPr>
              <w:jc w:val="left"/>
              <w:rPr>
                <w:rFonts w:hint="eastAsia" w:ascii="宋体" w:hAnsi="宋体"/>
                <w:color w:val="auto"/>
                <w:sz w:val="24"/>
              </w:rPr>
            </w:pPr>
            <w:r>
              <w:t>预算总金额45万元，由科室按医院规定渠道落实（科室经费/科研项目经费/医院统筹，以最终批复为准）。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trPr>
        <w:tc>
          <w:tcPr>
            <w:tcW w:w="10380" w:type="dxa"/>
            <w:gridSpan w:val="4"/>
            <w:noWrap w:val="0"/>
            <w:vAlign w:val="top"/>
          </w:tcPr>
          <w:p>
            <w:pPr>
              <w:numPr>
                <w:ilvl w:val="0"/>
                <w:numId w:val="0"/>
              </w:numPr>
              <w:spacing w:line="360" w:lineRule="auto"/>
              <w:jc w:val="left"/>
              <w:rPr>
                <w:rFonts w:hint="default" w:ascii="宋体" w:hAnsi="宋体"/>
                <w:color w:val="auto"/>
                <w:sz w:val="24"/>
                <w:highlight w:val="none"/>
                <w:lang w:val="en-US"/>
              </w:rPr>
            </w:pPr>
            <w:r>
              <w:rPr>
                <w:rFonts w:hint="eastAsia" w:ascii="宋体" w:hAnsi="宋体"/>
                <w:color w:val="auto"/>
                <w:sz w:val="24"/>
                <w:highlight w:val="none"/>
                <w:lang w:eastAsia="zh-CN"/>
              </w:rPr>
              <w:t>物价收费信息（包括设备和配套耗材所对应）</w:t>
            </w:r>
          </w:p>
          <w:p>
            <w:pPr>
              <w:numPr>
                <w:ilvl w:val="0"/>
                <w:numId w:val="3"/>
              </w:numPr>
              <w:spacing w:line="360" w:lineRule="auto"/>
              <w:jc w:val="left"/>
              <w:rPr>
                <w:rFonts w:hint="eastAsia" w:ascii="宋体" w:hAnsi="宋体"/>
                <w:color w:val="auto"/>
                <w:sz w:val="24"/>
                <w:highlight w:val="none"/>
                <w:lang w:eastAsia="zh-CN"/>
              </w:rPr>
            </w:pPr>
            <w:r>
              <w:rPr>
                <w:rFonts w:hint="eastAsia" w:ascii="宋体" w:hAnsi="宋体"/>
                <w:color w:val="auto"/>
                <w:sz w:val="24"/>
                <w:highlight w:val="none"/>
              </w:rPr>
              <w:t>医疗服务项目编码</w:t>
            </w:r>
            <w:r>
              <w:rPr>
                <w:rFonts w:hint="eastAsia" w:ascii="宋体" w:hAnsi="宋体"/>
                <w:color w:val="auto"/>
                <w:sz w:val="24"/>
                <w:highlight w:val="none"/>
                <w:lang w:eastAsia="zh-CN"/>
              </w:rPr>
              <w:t>：</w:t>
            </w:r>
            <w:r>
              <w:rPr>
                <w:rFonts w:hint="eastAsia" w:ascii="宋体" w:hAnsi="宋体"/>
                <w:color w:val="auto"/>
                <w:sz w:val="24"/>
                <w:highlight w:val="none"/>
                <w:lang w:eastAsia="zh-CN"/>
              </w:rPr>
              <w:t>无</w:t>
            </w:r>
          </w:p>
          <w:p>
            <w:pPr>
              <w:numPr>
                <w:ilvl w:val="0"/>
                <w:numId w:val="3"/>
              </w:numPr>
              <w:spacing w:line="360" w:lineRule="auto"/>
              <w:jc w:val="left"/>
              <w:rPr>
                <w:rFonts w:hint="eastAsia" w:ascii="宋体" w:hAnsi="宋体"/>
                <w:color w:val="auto"/>
                <w:sz w:val="24"/>
                <w:highlight w:val="none"/>
                <w:lang w:eastAsia="zh-CN"/>
              </w:rPr>
            </w:pPr>
            <w:r>
              <w:rPr>
                <w:rFonts w:hint="eastAsia" w:ascii="宋体" w:hAnsi="宋体" w:cs="宋体"/>
                <w:b w:val="0"/>
                <w:bCs w:val="0"/>
                <w:i w:val="0"/>
                <w:iCs w:val="0"/>
                <w:color w:val="auto"/>
                <w:sz w:val="24"/>
                <w:szCs w:val="24"/>
                <w:highlight w:val="none"/>
                <w:u w:val="none"/>
                <w:lang w:eastAsia="zh-CN"/>
              </w:rPr>
              <w:t>项目名称：</w:t>
            </w:r>
            <w:r>
              <w:rPr>
                <w:rFonts w:hint="eastAsia" w:ascii="宋体" w:hAnsi="宋体" w:cs="宋体"/>
                <w:b w:val="0"/>
                <w:bCs w:val="0"/>
                <w:i w:val="0"/>
                <w:iCs w:val="0"/>
                <w:color w:val="auto"/>
                <w:sz w:val="24"/>
                <w:szCs w:val="24"/>
                <w:highlight w:val="none"/>
                <w:u w:val="none"/>
                <w:lang w:eastAsia="zh-CN"/>
              </w:rPr>
              <w:t>无</w:t>
            </w:r>
          </w:p>
          <w:p>
            <w:pPr>
              <w:numPr>
                <w:ilvl w:val="0"/>
                <w:numId w:val="3"/>
              </w:numPr>
              <w:spacing w:line="360" w:lineRule="auto"/>
              <w:jc w:val="left"/>
              <w:rPr>
                <w:rFonts w:hint="eastAsia" w:ascii="宋体" w:hAnsi="宋体"/>
                <w:color w:val="auto"/>
                <w:sz w:val="24"/>
                <w:highlight w:val="none"/>
                <w:lang w:eastAsia="zh-CN"/>
              </w:rPr>
            </w:pPr>
            <w:r>
              <w:rPr>
                <w:rFonts w:hint="eastAsia" w:ascii="宋体" w:hAnsi="宋体" w:cs="宋体"/>
                <w:b w:val="0"/>
                <w:bCs w:val="0"/>
                <w:i w:val="0"/>
                <w:iCs w:val="0"/>
                <w:color w:val="auto"/>
                <w:kern w:val="0"/>
                <w:sz w:val="24"/>
                <w:szCs w:val="24"/>
                <w:highlight w:val="none"/>
                <w:u w:val="none"/>
                <w:lang w:val="en-US" w:eastAsia="zh-CN" w:bidi="ar"/>
              </w:rPr>
              <w:t>项目内涵：</w:t>
            </w:r>
            <w:r>
              <w:rPr>
                <w:rFonts w:hint="eastAsia" w:ascii="宋体" w:hAnsi="宋体" w:cs="宋体"/>
                <w:b w:val="0"/>
                <w:bCs w:val="0"/>
                <w:i w:val="0"/>
                <w:iCs w:val="0"/>
                <w:color w:val="auto"/>
                <w:kern w:val="0"/>
                <w:sz w:val="24"/>
                <w:szCs w:val="24"/>
                <w:highlight w:val="none"/>
                <w:u w:val="none"/>
                <w:lang w:val="en-US" w:eastAsia="zh-CN" w:bidi="ar"/>
              </w:rPr>
              <w:t>本设备不对应临床医疗服务收费项目，仅用于科学研究与重症专病库建设。</w:t>
            </w:r>
          </w:p>
          <w:p>
            <w:pPr>
              <w:numPr>
                <w:ilvl w:val="0"/>
                <w:numId w:val="3"/>
              </w:numPr>
              <w:spacing w:line="360" w:lineRule="auto"/>
              <w:jc w:val="left"/>
              <w:rPr>
                <w:rFonts w:hint="eastAsia" w:ascii="宋体" w:hAnsi="宋体"/>
                <w:color w:val="auto"/>
                <w:sz w:val="24"/>
                <w:highlight w:val="none"/>
                <w:lang w:eastAsia="zh-CN"/>
              </w:rPr>
            </w:pPr>
            <w:r>
              <w:rPr>
                <w:rFonts w:hint="eastAsia" w:ascii="宋体" w:hAnsi="宋体" w:cs="宋体"/>
                <w:b w:val="0"/>
                <w:bCs w:val="0"/>
                <w:i w:val="0"/>
                <w:iCs w:val="0"/>
                <w:color w:val="auto"/>
                <w:kern w:val="0"/>
                <w:sz w:val="24"/>
                <w:szCs w:val="24"/>
                <w:highlight w:val="none"/>
                <w:u w:val="none"/>
                <w:lang w:val="en-US" w:eastAsia="zh-CN" w:bidi="ar"/>
              </w:rPr>
              <w:t>除外内容:</w:t>
            </w:r>
            <w:r>
              <w:rPr>
                <w:rFonts w:hint="eastAsia" w:ascii="宋体" w:hAnsi="宋体" w:cs="宋体"/>
                <w:b w:val="0"/>
                <w:bCs w:val="0"/>
                <w:i w:val="0"/>
                <w:iCs w:val="0"/>
                <w:color w:val="auto"/>
                <w:kern w:val="0"/>
                <w:sz w:val="24"/>
                <w:szCs w:val="24"/>
                <w:highlight w:val="none"/>
                <w:u w:val="none"/>
                <w:lang w:val="en-US" w:eastAsia="zh-CN" w:bidi="ar"/>
              </w:rPr>
              <w:t>无</w:t>
            </w:r>
          </w:p>
          <w:p>
            <w:pPr>
              <w:numPr>
                <w:ilvl w:val="0"/>
                <w:numId w:val="3"/>
              </w:numPr>
              <w:spacing w:line="360" w:lineRule="auto"/>
              <w:jc w:val="left"/>
              <w:rPr>
                <w:rFonts w:hint="eastAsia" w:ascii="宋体" w:hAnsi="宋体"/>
                <w:color w:val="auto"/>
                <w:sz w:val="24"/>
                <w:highlight w:val="none"/>
              </w:rPr>
            </w:pPr>
            <w:r>
              <w:rPr>
                <w:rFonts w:hint="eastAsia" w:ascii="宋体" w:hAnsi="宋体" w:cs="宋体"/>
                <w:b w:val="0"/>
                <w:bCs w:val="0"/>
                <w:i w:val="0"/>
                <w:iCs w:val="0"/>
                <w:color w:val="auto"/>
                <w:kern w:val="0"/>
                <w:sz w:val="24"/>
                <w:szCs w:val="24"/>
                <w:highlight w:val="none"/>
                <w:u w:val="none"/>
                <w:lang w:val="en-US" w:eastAsia="zh-CN" w:bidi="ar"/>
              </w:rPr>
              <w:t>配套耗材医保代码:</w:t>
            </w:r>
            <w:r>
              <w:rPr>
                <w:rFonts w:hint="eastAsia" w:ascii="宋体" w:hAnsi="宋体" w:cs="宋体"/>
                <w:b w:val="0"/>
                <w:bCs w:val="0"/>
                <w:i w:val="0"/>
                <w:iCs w:val="0"/>
                <w:color w:val="auto"/>
                <w:kern w:val="0"/>
                <w:sz w:val="24"/>
                <w:szCs w:val="24"/>
                <w:highlight w:val="none"/>
                <w:u w:val="none"/>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trPr>
        <w:tc>
          <w:tcPr>
            <w:tcW w:w="10380" w:type="dxa"/>
            <w:gridSpan w:val="4"/>
            <w:tcBorders>
              <w:right w:val="single" w:color="auto" w:sz="4" w:space="0"/>
            </w:tcBorders>
            <w:noWrap w:val="0"/>
            <w:vAlign w:val="center"/>
          </w:tcPr>
          <w:p>
            <w:pPr>
              <w:jc w:val="left"/>
              <w:rPr>
                <w:rFonts w:hint="eastAsia"/>
                <w:color w:val="auto"/>
                <w:sz w:val="24"/>
                <w:highlight w:val="none"/>
                <w:lang w:eastAsia="zh-CN"/>
              </w:rPr>
            </w:pPr>
            <w:r>
              <w:rPr>
                <w:rFonts w:hint="eastAsia"/>
                <w:color w:val="auto"/>
                <w:sz w:val="24"/>
                <w:highlight w:val="none"/>
                <w:lang w:val="en-US" w:eastAsia="zh-CN"/>
              </w:rPr>
              <w:t>申购科室集体意见（科室负责人及高年资人员）：</w:t>
            </w:r>
          </w:p>
          <w:p>
            <w:pPr>
              <w:jc w:val="both"/>
              <w:rPr>
                <w:rFonts w:hint="eastAsia" w:ascii="宋体" w:hAnsi="宋体" w:cs="宋体"/>
                <w:color w:val="auto"/>
                <w:sz w:val="24"/>
                <w:highlight w:val="none"/>
              </w:rPr>
            </w:pPr>
            <w:r>
              <w:t>经科室讨论，同意申购国产 Essence Research 专病科研工作站（前沿突破站）1套，预算45万元，用于重症医学科专病库与科研能力建设。</w:t>
            </w:r>
          </w:p>
          <w:p>
            <w:pPr>
              <w:ind w:firstLine="480" w:firstLineChars="200"/>
              <w:jc w:val="both"/>
              <w:rPr>
                <w:rFonts w:hint="eastAsia" w:ascii="宋体" w:hAnsi="宋体" w:cs="宋体"/>
                <w:color w:val="auto"/>
                <w:sz w:val="24"/>
                <w:highlight w:val="none"/>
                <w:lang w:val="en-US" w:eastAsia="zh-CN"/>
              </w:rPr>
            </w:pPr>
          </w:p>
          <w:p>
            <w:pPr>
              <w:jc w:val="both"/>
              <w:rPr>
                <w:rFonts w:hint="eastAsia" w:ascii="宋体" w:hAnsi="宋体" w:cs="宋体"/>
                <w:color w:val="auto"/>
                <w:sz w:val="24"/>
                <w:highlight w:val="none"/>
                <w:lang w:val="en-US" w:eastAsia="zh-CN"/>
              </w:rPr>
            </w:pPr>
          </w:p>
          <w:p>
            <w:pPr>
              <w:jc w:val="both"/>
              <w:rPr>
                <w:rFonts w:hint="eastAsia" w:ascii="宋体" w:hAnsi="宋体" w:cs="宋体"/>
                <w:color w:val="auto"/>
                <w:sz w:val="24"/>
                <w:highlight w:val="none"/>
                <w:lang w:val="en-US" w:eastAsia="zh-CN"/>
              </w:rPr>
            </w:pPr>
          </w:p>
          <w:p>
            <w:pPr>
              <w:jc w:val="both"/>
              <w:rPr>
                <w:rFonts w:hint="eastAsia" w:ascii="宋体" w:hAnsi="宋体" w:cs="宋体"/>
                <w:color w:val="auto"/>
                <w:sz w:val="24"/>
                <w:highlight w:val="none"/>
                <w:lang w:val="en-US" w:eastAsia="zh-CN"/>
              </w:rPr>
            </w:pPr>
          </w:p>
          <w:p>
            <w:pPr>
              <w:jc w:val="both"/>
              <w:rPr>
                <w:rFonts w:hint="eastAsia"/>
                <w:color w:val="auto"/>
                <w:sz w:val="24"/>
                <w:highlight w:val="yellow"/>
                <w:lang w:val="en-US" w:eastAsia="zh-CN"/>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签字：1、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2、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10380" w:type="dxa"/>
            <w:gridSpan w:val="4"/>
            <w:noWrap w:val="0"/>
            <w:vAlign w:val="center"/>
          </w:tcPr>
          <w:p>
            <w:pPr>
              <w:jc w:val="both"/>
              <w:rPr>
                <w:rFonts w:hint="eastAsia"/>
                <w:color w:val="auto"/>
                <w:sz w:val="24"/>
              </w:rPr>
            </w:pPr>
            <w:r>
              <w:rPr>
                <w:rFonts w:hint="eastAsia"/>
                <w:color w:val="auto"/>
                <w:sz w:val="24"/>
                <w:lang w:eastAsia="zh-CN"/>
              </w:rPr>
              <w:t>科室承诺：以上项目购置使用后，我科室承诺将严格按照填报审核备案的收费项目规范收费，不套收取费用。</w:t>
            </w:r>
          </w:p>
        </w:tc>
      </w:tr>
    </w:tbl>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360" w:lineRule="auto"/>
        <w:ind w:right="0"/>
        <w:jc w:val="left"/>
        <w:textAlignment w:val="top"/>
        <w:rPr>
          <w:rFonts w:hint="eastAsia" w:ascii="宋体" w:hAnsi="宋体" w:eastAsia="宋体" w:cs="宋体"/>
          <w:b w:val="0"/>
          <w:bCs w:val="0"/>
          <w:kern w:val="0"/>
          <w:sz w:val="28"/>
          <w:szCs w:val="28"/>
          <w:lang w:val="en-US" w:eastAsia="zh-CN" w:bidi="ar"/>
        </w:rPr>
      </w:pPr>
    </w:p>
    <w:p>
      <w:pPr>
        <w:rPr>
          <w:rFonts w:hint="eastAsia" w:eastAsiaTheme="minorEastAsia"/>
          <w:lang w:eastAsia="zh-CN"/>
        </w:rPr>
        <w:sectPr>
          <w:pgSz w:w="11906" w:h="16838"/>
          <w:pgMar w:top="1440" w:right="1800" w:bottom="1440" w:left="1800" w:header="851" w:footer="992" w:gutter="0"/>
          <w:cols w:space="425" w:num="1"/>
          <w:docGrid w:type="lines" w:linePitch="312" w:charSpace="0"/>
        </w:sectPr>
      </w:pPr>
    </w:p>
    <w:p>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附件2：业财一体化系统资产预算编制操作文档</w:t>
      </w:r>
    </w:p>
    <w:p>
      <w:pPr>
        <w:pStyle w:val="6"/>
        <w:numPr>
          <w:ilvl w:val="0"/>
          <w:numId w:val="4"/>
        </w:numPr>
        <w:rPr>
          <w:sz w:val="28"/>
          <w:szCs w:val="28"/>
        </w:rPr>
      </w:pPr>
      <w:r>
        <w:rPr>
          <w:rFonts w:hint="eastAsia"/>
          <w:sz w:val="28"/>
          <w:szCs w:val="28"/>
        </w:rPr>
        <w:t>登录系统</w:t>
      </w:r>
    </w:p>
    <w:p>
      <w:pPr>
        <w:pStyle w:val="6"/>
        <w:ind w:left="420"/>
        <w:rPr>
          <w:rFonts w:hint="eastAsia"/>
          <w:sz w:val="28"/>
          <w:szCs w:val="28"/>
        </w:rPr>
      </w:pPr>
      <w:r>
        <w:rPr>
          <w:rFonts w:hint="eastAsia"/>
          <w:sz w:val="28"/>
          <w:szCs w:val="28"/>
        </w:rPr>
        <w:t>1、内网登录：</w:t>
      </w:r>
    </w:p>
    <w:p>
      <w:pPr>
        <w:pStyle w:val="6"/>
        <w:ind w:left="420"/>
        <w:rPr>
          <w:sz w:val="28"/>
          <w:szCs w:val="28"/>
        </w:rPr>
      </w:pPr>
      <w:r>
        <w:rPr>
          <w:rFonts w:hint="eastAsia"/>
          <w:sz w:val="28"/>
          <w:szCs w:val="28"/>
        </w:rPr>
        <w:t>推荐在浏览器中输入网址：</w:t>
      </w:r>
    </w:p>
    <w:p>
      <w:pPr>
        <w:pStyle w:val="6"/>
        <w:ind w:left="420"/>
        <w:rPr>
          <w:sz w:val="28"/>
          <w:szCs w:val="28"/>
        </w:rPr>
      </w:pPr>
      <w:r>
        <w:rPr>
          <w:sz w:val="28"/>
          <w:szCs w:val="28"/>
        </w:rPr>
        <w:fldChar w:fldCharType="begin"/>
      </w:r>
      <w:r>
        <w:rPr>
          <w:sz w:val="28"/>
          <w:szCs w:val="28"/>
        </w:rPr>
        <w:instrText xml:space="preserve"> HYPERLINK "http://172.20.111.95:9825/" </w:instrText>
      </w:r>
      <w:r>
        <w:rPr>
          <w:sz w:val="28"/>
          <w:szCs w:val="28"/>
        </w:rPr>
        <w:fldChar w:fldCharType="separate"/>
      </w:r>
      <w:r>
        <w:rPr>
          <w:rStyle w:val="5"/>
          <w:rFonts w:hint="eastAsia"/>
          <w:sz w:val="28"/>
          <w:szCs w:val="28"/>
        </w:rPr>
        <w:t>http://172.20.111.95:9825/</w:t>
      </w:r>
      <w:r>
        <w:rPr>
          <w:rStyle w:val="5"/>
          <w:rFonts w:hint="eastAsia"/>
          <w:sz w:val="28"/>
          <w:szCs w:val="28"/>
        </w:rPr>
        <w:fldChar w:fldCharType="end"/>
      </w:r>
    </w:p>
    <w:p>
      <w:pPr>
        <w:pStyle w:val="6"/>
        <w:ind w:left="420"/>
        <w:rPr>
          <w:sz w:val="28"/>
          <w:szCs w:val="28"/>
        </w:rPr>
      </w:pPr>
      <w:r>
        <w:rPr>
          <w:rFonts w:hint="eastAsia"/>
          <w:sz w:val="28"/>
          <w:szCs w:val="28"/>
        </w:rPr>
        <w:t>填写用户名（员工工号）和密码（默认为身份证后六位），即可进一体化系统平台。</w:t>
      </w:r>
    </w:p>
    <w:p>
      <w:pPr>
        <w:pStyle w:val="6"/>
        <w:ind w:left="420"/>
        <w:rPr>
          <w:sz w:val="28"/>
          <w:szCs w:val="28"/>
        </w:rPr>
      </w:pPr>
      <w:r>
        <w:rPr>
          <w:rFonts w:hint="eastAsia"/>
          <w:sz w:val="28"/>
          <w:szCs w:val="28"/>
        </w:rPr>
        <w:t>2、院内外网登录</w:t>
      </w:r>
    </w:p>
    <w:p>
      <w:pPr>
        <w:pStyle w:val="6"/>
        <w:ind w:left="420"/>
        <w:rPr>
          <w:sz w:val="28"/>
          <w:szCs w:val="28"/>
        </w:rPr>
      </w:pPr>
      <w:r>
        <w:rPr>
          <w:sz w:val="28"/>
          <w:szCs w:val="28"/>
        </w:rPr>
        <w:fldChar w:fldCharType="begin"/>
      </w:r>
      <w:r>
        <w:rPr>
          <w:sz w:val="28"/>
          <w:szCs w:val="28"/>
        </w:rPr>
        <w:instrText xml:space="preserve"> HYPERLINK "http://172.16.253.88:9001/" </w:instrText>
      </w:r>
      <w:r>
        <w:rPr>
          <w:sz w:val="28"/>
          <w:szCs w:val="28"/>
        </w:rPr>
        <w:fldChar w:fldCharType="separate"/>
      </w:r>
      <w:r>
        <w:rPr>
          <w:rStyle w:val="5"/>
          <w:rFonts w:hint="eastAsia"/>
          <w:sz w:val="28"/>
          <w:szCs w:val="28"/>
        </w:rPr>
        <w:t>http://172.16.253.88:9001/</w:t>
      </w:r>
      <w:r>
        <w:rPr>
          <w:rStyle w:val="5"/>
          <w:rFonts w:hint="eastAsia"/>
          <w:sz w:val="28"/>
          <w:szCs w:val="28"/>
        </w:rPr>
        <w:fldChar w:fldCharType="end"/>
      </w:r>
    </w:p>
    <w:p>
      <w:pPr>
        <w:pStyle w:val="6"/>
        <w:numPr>
          <w:ilvl w:val="0"/>
          <w:numId w:val="4"/>
        </w:numPr>
        <w:rPr>
          <w:sz w:val="28"/>
          <w:szCs w:val="28"/>
        </w:rPr>
      </w:pPr>
      <w:r>
        <w:rPr>
          <w:rFonts w:hint="eastAsia"/>
          <w:sz w:val="28"/>
          <w:szCs w:val="28"/>
        </w:rPr>
        <w:t>新增预算编制单</w:t>
      </w:r>
    </w:p>
    <w:p>
      <w:pPr>
        <w:pStyle w:val="6"/>
        <w:numPr>
          <w:ilvl w:val="0"/>
          <w:numId w:val="5"/>
        </w:numPr>
        <w:rPr>
          <w:sz w:val="28"/>
          <w:szCs w:val="28"/>
        </w:rPr>
      </w:pPr>
      <w:r>
        <w:rPr>
          <w:rFonts w:hint="eastAsia"/>
          <w:sz w:val="28"/>
          <w:szCs w:val="28"/>
        </w:rPr>
        <w:t>进入预算管理-预算编制（</w:t>
      </w:r>
      <w:r>
        <w:rPr>
          <w:rFonts w:hint="eastAsia"/>
          <w:sz w:val="28"/>
          <w:szCs w:val="28"/>
          <w:lang w:val="en-US" w:eastAsia="zh-CN"/>
        </w:rPr>
        <w:t>二</w:t>
      </w:r>
      <w:r>
        <w:rPr>
          <w:rFonts w:hint="eastAsia"/>
          <w:sz w:val="28"/>
          <w:szCs w:val="28"/>
        </w:rPr>
        <w:t>上）</w:t>
      </w:r>
    </w:p>
    <w:p>
      <w:pPr>
        <w:pStyle w:val="6"/>
        <w:ind w:left="0" w:leftChars="0" w:firstLine="0" w:firstLineChars="0"/>
        <w:rPr>
          <w:sz w:val="28"/>
          <w:szCs w:val="28"/>
        </w:rPr>
      </w:pPr>
      <w:r>
        <w:rPr>
          <w:sz w:val="28"/>
          <w:szCs w:val="28"/>
          <w:bdr w:val="single" w:sz="4" w:space="0"/>
        </w:rPr>
        <w:drawing>
          <wp:inline distT="0" distB="0" distL="114300" distR="114300">
            <wp:extent cx="7918450" cy="2476500"/>
            <wp:effectExtent l="28575" t="28575" r="34925" b="28575"/>
            <wp:docPr id="1" name="图片 1"/>
            <wp:cNvGraphicFramePr>
              <a:graphicFrameLocks noChangeAspect="1"/>
            </wp:cNvGraphicFramePr>
            <a:graphic>
              <a:graphicData uri="http://schemas.openxmlformats.org/drawingml/2006/picture">
                <pic:pic>
                  <pic:nvPicPr>
                    <pic:cNvPr id="1" name="图片 1"/>
                    <pic:cNvPicPr>
                      <a:picLocks noChangeAspect="1"/>
                    </pic:cNvPicPr>
                  </pic:nvPicPr>
                  <pic:blipFill>
                    <a:blip r:embed="rId4"/>
                    <a:stretch>
                      <a:fillRect/>
                    </a:stretch>
                  </pic:blipFill>
                  <pic:spPr>
                    <a:xfrm>
                      <a:off x="0" y="0"/>
                      <a:ext cx="7918450" cy="2476500"/>
                    </a:xfrm>
                    <a:prstGeom prst="rect">
                      <a:avLst/>
                    </a:prstGeom>
                    <a:noFill/>
                    <a:ln w="28575" cmpd="sng">
                      <a:solidFill>
                        <a:schemeClr val="accent1">
                          <a:shade val="50000"/>
                        </a:schemeClr>
                      </a:solidFill>
                      <a:prstDash val="solid"/>
                    </a:ln>
                  </pic:spPr>
                </pic:pic>
              </a:graphicData>
            </a:graphic>
          </wp:inline>
        </w:drawing>
      </w:r>
    </w:p>
    <w:p>
      <w:pPr>
        <w:pStyle w:val="6"/>
        <w:numPr>
          <w:ilvl w:val="0"/>
          <w:numId w:val="5"/>
        </w:numPr>
        <w:rPr>
          <w:sz w:val="28"/>
          <w:szCs w:val="28"/>
        </w:rPr>
      </w:pPr>
      <w:r>
        <w:rPr>
          <w:rFonts w:hint="eastAsia"/>
          <w:sz w:val="28"/>
          <w:szCs w:val="28"/>
        </w:rPr>
        <w:t>选择 资产（大型设备、电子办公设备、软件）项目预算单(</w:t>
      </w:r>
      <w:r>
        <w:rPr>
          <w:rFonts w:hint="eastAsia"/>
          <w:sz w:val="28"/>
          <w:szCs w:val="28"/>
          <w:lang w:val="en-US" w:eastAsia="zh-CN"/>
        </w:rPr>
        <w:t>二</w:t>
      </w:r>
      <w:r>
        <w:rPr>
          <w:rFonts w:hint="eastAsia"/>
          <w:sz w:val="28"/>
          <w:szCs w:val="28"/>
        </w:rPr>
        <w:t>上) 单据</w:t>
      </w:r>
    </w:p>
    <w:p>
      <w:pPr>
        <w:pStyle w:val="6"/>
        <w:ind w:left="0" w:leftChars="0" w:firstLine="0" w:firstLineChars="0"/>
        <w:rPr>
          <w:sz w:val="28"/>
          <w:szCs w:val="28"/>
        </w:rPr>
      </w:pPr>
      <w:r>
        <w:rPr>
          <w:sz w:val="28"/>
          <w:szCs w:val="28"/>
        </w:rPr>
        <w:drawing>
          <wp:inline distT="0" distB="0" distL="0" distR="0">
            <wp:extent cx="7939405" cy="1718945"/>
            <wp:effectExtent l="28575" t="28575" r="33020" b="43180"/>
            <wp:docPr id="408855906" name="图片 1" descr="图形用户界面, 应用程序, Word&#10;&#10;AI 生成的内容可能不正确。"/>
            <wp:cNvGraphicFramePr>
              <a:graphicFrameLocks noChangeAspect="1"/>
            </wp:cNvGraphicFramePr>
            <a:graphic>
              <a:graphicData uri="http://schemas.openxmlformats.org/drawingml/2006/picture">
                <pic:pic>
                  <pic:nvPicPr>
                    <pic:cNvPr id="408855906" name="图片 1" descr="图形用户界面, 应用程序, Word&#10;&#10;AI 生成的内容可能不正确。"/>
                    <pic:cNvPicPr>
                      <a:picLocks noChangeAspect="1"/>
                    </pic:cNvPicPr>
                  </pic:nvPicPr>
                  <pic:blipFill>
                    <a:blip r:embed="rId5"/>
                    <a:stretch>
                      <a:fillRect/>
                    </a:stretch>
                  </pic:blipFill>
                  <pic:spPr>
                    <a:xfrm>
                      <a:off x="0" y="0"/>
                      <a:ext cx="7939405" cy="1718945"/>
                    </a:xfrm>
                    <a:prstGeom prst="rect">
                      <a:avLst/>
                    </a:prstGeom>
                    <a:ln w="28575" cmpd="sng">
                      <a:solidFill>
                        <a:schemeClr val="accent1">
                          <a:shade val="50000"/>
                        </a:schemeClr>
                      </a:solidFill>
                      <a:prstDash val="solid"/>
                    </a:ln>
                  </pic:spPr>
                </pic:pic>
              </a:graphicData>
            </a:graphic>
          </wp:inline>
        </w:drawing>
      </w:r>
    </w:p>
    <w:p>
      <w:pPr>
        <w:pStyle w:val="6"/>
        <w:numPr>
          <w:ilvl w:val="0"/>
          <w:numId w:val="5"/>
        </w:numPr>
        <w:rPr>
          <w:sz w:val="28"/>
          <w:szCs w:val="28"/>
        </w:rPr>
      </w:pPr>
      <w:r>
        <w:rPr>
          <w:rFonts w:hint="eastAsia"/>
          <w:sz w:val="28"/>
          <w:szCs w:val="28"/>
        </w:rPr>
        <w:t>选择设备项目预算单</w:t>
      </w:r>
      <w:r>
        <w:rPr>
          <w:rFonts w:hint="eastAsia"/>
          <w:sz w:val="28"/>
          <w:szCs w:val="28"/>
          <w:lang w:val="en-US" w:eastAsia="zh-CN"/>
        </w:rPr>
        <w:t>二</w:t>
      </w:r>
      <w:r>
        <w:rPr>
          <w:rFonts w:hint="eastAsia"/>
          <w:sz w:val="28"/>
          <w:szCs w:val="28"/>
        </w:rPr>
        <w:t>上，进入填写界面</w:t>
      </w:r>
    </w:p>
    <w:p>
      <w:pPr>
        <w:pStyle w:val="6"/>
        <w:numPr>
          <w:ilvl w:val="0"/>
          <w:numId w:val="4"/>
        </w:numPr>
        <w:rPr>
          <w:sz w:val="28"/>
          <w:szCs w:val="28"/>
        </w:rPr>
      </w:pPr>
      <w:r>
        <w:rPr>
          <w:rFonts w:hint="eastAsia"/>
          <w:sz w:val="28"/>
          <w:szCs w:val="28"/>
        </w:rPr>
        <w:t>预算编制单填写</w:t>
      </w:r>
    </w:p>
    <w:p>
      <w:pPr>
        <w:pStyle w:val="6"/>
        <w:ind w:left="420"/>
        <w:rPr>
          <w:sz w:val="28"/>
          <w:szCs w:val="28"/>
        </w:rPr>
      </w:pPr>
      <w:r>
        <w:rPr>
          <w:rFonts w:hint="eastAsia"/>
          <w:sz w:val="28"/>
          <w:szCs w:val="28"/>
          <w:highlight w:val="red"/>
          <w:lang w:val="en-US" w:eastAsia="zh-CN"/>
        </w:rPr>
        <w:t>3.1医疗设备</w:t>
      </w:r>
      <w:r>
        <w:rPr>
          <w:rFonts w:hint="eastAsia"/>
          <w:sz w:val="28"/>
          <w:szCs w:val="28"/>
        </w:rPr>
        <w:t>界面如图所示</w:t>
      </w:r>
    </w:p>
    <w:p>
      <w:pPr>
        <w:pStyle w:val="6"/>
        <w:ind w:left="0" w:leftChars="0" w:firstLine="0" w:firstLineChars="0"/>
        <w:rPr>
          <w:sz w:val="28"/>
          <w:szCs w:val="28"/>
        </w:rPr>
      </w:pPr>
      <w:r>
        <w:rPr>
          <w:sz w:val="28"/>
          <w:szCs w:val="28"/>
        </w:rPr>
        <w:drawing>
          <wp:inline distT="0" distB="0" distL="114300" distR="114300">
            <wp:extent cx="8466455" cy="2466975"/>
            <wp:effectExtent l="28575" t="9525" r="39370" b="38100"/>
            <wp:docPr id="2" name="图片 2"/>
            <wp:cNvGraphicFramePr>
              <a:graphicFrameLocks noChangeAspect="1"/>
            </wp:cNvGraphicFramePr>
            <a:graphic>
              <a:graphicData uri="http://schemas.openxmlformats.org/drawingml/2006/picture">
                <pic:pic>
                  <pic:nvPicPr>
                    <pic:cNvPr id="2" name="图片 2"/>
                    <pic:cNvPicPr>
                      <a:picLocks noChangeAspect="1"/>
                    </pic:cNvPicPr>
                  </pic:nvPicPr>
                  <pic:blipFill>
                    <a:blip r:embed="rId6"/>
                    <a:stretch>
                      <a:fillRect/>
                    </a:stretch>
                  </pic:blipFill>
                  <pic:spPr>
                    <a:xfrm>
                      <a:off x="0" y="0"/>
                      <a:ext cx="8466455" cy="2466975"/>
                    </a:xfrm>
                    <a:prstGeom prst="rect">
                      <a:avLst/>
                    </a:prstGeom>
                    <a:noFill/>
                    <a:ln w="28575" cmpd="sng">
                      <a:solidFill>
                        <a:schemeClr val="accent1">
                          <a:shade val="50000"/>
                        </a:schemeClr>
                      </a:solidFill>
                      <a:prstDash val="solid"/>
                    </a:ln>
                  </pic:spPr>
                </pic:pic>
              </a:graphicData>
            </a:graphic>
          </wp:inline>
        </w:drawing>
      </w:r>
    </w:p>
    <w:p>
      <w:pPr>
        <w:pStyle w:val="6"/>
        <w:ind w:left="420"/>
        <w:rPr>
          <w:sz w:val="28"/>
          <w:szCs w:val="28"/>
        </w:rPr>
      </w:pPr>
      <w:r>
        <w:rPr>
          <w:rFonts w:hint="eastAsia"/>
          <w:sz w:val="28"/>
          <w:szCs w:val="28"/>
          <w:highlight w:val="red"/>
          <w:lang w:val="en-US" w:eastAsia="zh-CN"/>
        </w:rPr>
        <w:t>3.2电脑、电视机、空调、显示屏等通用设备</w:t>
      </w:r>
      <w:r>
        <w:rPr>
          <w:rFonts w:hint="eastAsia"/>
          <w:sz w:val="28"/>
          <w:szCs w:val="28"/>
        </w:rPr>
        <w:t>界面如图所示</w:t>
      </w:r>
    </w:p>
    <w:p>
      <w:pPr>
        <w:pStyle w:val="6"/>
        <w:ind w:left="0" w:leftChars="0" w:firstLine="0" w:firstLineChars="0"/>
        <w:rPr>
          <w:sz w:val="28"/>
          <w:szCs w:val="28"/>
        </w:rPr>
      </w:pPr>
      <w:r>
        <w:drawing>
          <wp:inline distT="0" distB="0" distL="114300" distR="114300">
            <wp:extent cx="8852535" cy="3451225"/>
            <wp:effectExtent l="28575" t="28575" r="34290" b="44450"/>
            <wp:docPr id="6" name="图片 1"/>
            <wp:cNvGraphicFramePr>
              <a:graphicFrameLocks noChangeAspect="1"/>
            </wp:cNvGraphicFramePr>
            <a:graphic>
              <a:graphicData uri="http://schemas.openxmlformats.org/drawingml/2006/picture">
                <pic:pic>
                  <pic:nvPicPr>
                    <pic:cNvPr id="6" name="图片 1"/>
                    <pic:cNvPicPr>
                      <a:picLocks noChangeAspect="1"/>
                    </pic:cNvPicPr>
                  </pic:nvPicPr>
                  <pic:blipFill>
                    <a:blip r:embed="rId7"/>
                    <a:stretch>
                      <a:fillRect/>
                    </a:stretch>
                  </pic:blipFill>
                  <pic:spPr>
                    <a:xfrm>
                      <a:off x="0" y="0"/>
                      <a:ext cx="8852535" cy="3451225"/>
                    </a:xfrm>
                    <a:prstGeom prst="rect">
                      <a:avLst/>
                    </a:prstGeom>
                    <a:noFill/>
                    <a:ln w="28575" cmpd="sng">
                      <a:solidFill>
                        <a:schemeClr val="accent1">
                          <a:shade val="50000"/>
                        </a:schemeClr>
                      </a:solidFill>
                      <a:prstDash val="solid"/>
                    </a:ln>
                  </pic:spPr>
                </pic:pic>
              </a:graphicData>
            </a:graphic>
          </wp:inline>
        </w:drawing>
      </w:r>
    </w:p>
    <w:p>
      <w:pPr>
        <w:pStyle w:val="6"/>
        <w:numPr>
          <w:ilvl w:val="0"/>
          <w:numId w:val="6"/>
        </w:numPr>
        <w:rPr>
          <w:sz w:val="28"/>
          <w:szCs w:val="28"/>
        </w:rPr>
      </w:pPr>
      <w:r>
        <w:rPr>
          <w:rFonts w:hint="eastAsia"/>
          <w:sz w:val="28"/>
          <w:szCs w:val="28"/>
        </w:rPr>
        <w:t>选择科室类型（医疗、护理），涉及到医务部、护理部审批流程，需准确选择</w:t>
      </w:r>
    </w:p>
    <w:p>
      <w:pPr>
        <w:pStyle w:val="6"/>
        <w:numPr>
          <w:ilvl w:val="0"/>
          <w:numId w:val="0"/>
        </w:numPr>
        <w:rPr>
          <w:sz w:val="28"/>
          <w:szCs w:val="28"/>
        </w:rPr>
      </w:pPr>
      <w:r>
        <w:rPr>
          <w:rFonts w:hint="eastAsia" w:eastAsia="宋体"/>
          <w:lang w:eastAsia="zh-CN"/>
        </w:rPr>
        <w:drawing>
          <wp:inline distT="0" distB="0" distL="114300" distR="114300">
            <wp:extent cx="8322310" cy="2110740"/>
            <wp:effectExtent l="28575" t="28575" r="31115" b="32385"/>
            <wp:docPr id="4" name="图片 4" descr="174c15470fb248599cce97b7bb3edb30"/>
            <wp:cNvGraphicFramePr>
              <a:graphicFrameLocks noChangeAspect="1"/>
            </wp:cNvGraphicFramePr>
            <a:graphic>
              <a:graphicData uri="http://schemas.openxmlformats.org/drawingml/2006/picture">
                <pic:pic>
                  <pic:nvPicPr>
                    <pic:cNvPr id="4" name="图片 4" descr="174c15470fb248599cce97b7bb3edb30"/>
                    <pic:cNvPicPr>
                      <a:picLocks noChangeAspect="1"/>
                    </pic:cNvPicPr>
                  </pic:nvPicPr>
                  <pic:blipFill>
                    <a:blip r:embed="rId8"/>
                    <a:stretch>
                      <a:fillRect/>
                    </a:stretch>
                  </pic:blipFill>
                  <pic:spPr>
                    <a:xfrm>
                      <a:off x="0" y="0"/>
                      <a:ext cx="8322310" cy="2110740"/>
                    </a:xfrm>
                    <a:prstGeom prst="rect">
                      <a:avLst/>
                    </a:prstGeom>
                    <a:ln w="28575" cmpd="sng">
                      <a:solidFill>
                        <a:schemeClr val="accent1">
                          <a:shade val="50000"/>
                        </a:schemeClr>
                      </a:solidFill>
                      <a:prstDash val="solid"/>
                    </a:ln>
                  </pic:spPr>
                </pic:pic>
              </a:graphicData>
            </a:graphic>
          </wp:inline>
        </w:drawing>
      </w:r>
    </w:p>
    <w:p>
      <w:pPr>
        <w:pStyle w:val="6"/>
        <w:numPr>
          <w:ilvl w:val="0"/>
          <w:numId w:val="6"/>
        </w:numPr>
        <w:rPr>
          <w:sz w:val="28"/>
          <w:szCs w:val="28"/>
        </w:rPr>
      </w:pPr>
      <w:r>
        <w:rPr>
          <w:rFonts w:hint="eastAsia"/>
          <w:sz w:val="28"/>
          <w:szCs w:val="28"/>
        </w:rPr>
        <w:t>选择预算项目编码、预算科目</w:t>
      </w:r>
    </w:p>
    <w:p>
      <w:pPr>
        <w:pStyle w:val="6"/>
        <w:numPr>
          <w:ilvl w:val="0"/>
          <w:numId w:val="0"/>
        </w:numPr>
        <w:ind w:left="420" w:leftChars="0" w:firstLine="560"/>
        <w:rPr>
          <w:rFonts w:hint="eastAsia"/>
          <w:sz w:val="28"/>
          <w:szCs w:val="28"/>
          <w:lang w:val="en-US" w:eastAsia="zh-CN"/>
        </w:rPr>
      </w:pPr>
      <w:r>
        <w:rPr>
          <w:rFonts w:hint="eastAsia"/>
          <w:sz w:val="28"/>
          <w:szCs w:val="28"/>
          <w:lang w:val="en-US" w:eastAsia="zh-CN"/>
        </w:rPr>
        <w:t>①设备：项目编码选择XM793（医疗设备采购），预算科目选择22（专用设备购置）</w:t>
      </w:r>
    </w:p>
    <w:p>
      <w:pPr>
        <w:pStyle w:val="6"/>
        <w:numPr>
          <w:ilvl w:val="0"/>
          <w:numId w:val="0"/>
        </w:numPr>
        <w:ind w:left="420" w:leftChars="0" w:firstLine="560"/>
        <w:rPr>
          <w:rFonts w:hint="eastAsia"/>
          <w:sz w:val="28"/>
          <w:szCs w:val="28"/>
          <w:lang w:val="en-US" w:eastAsia="zh-CN"/>
        </w:rPr>
      </w:pPr>
      <w:r>
        <w:rPr>
          <w:rFonts w:hint="eastAsia"/>
          <w:sz w:val="28"/>
          <w:szCs w:val="28"/>
          <w:lang w:val="en-US" w:eastAsia="zh-CN"/>
        </w:rPr>
        <w:t>②电子办公设备：项目编码选择XM837（其他通用类设备），预算科目选择23（通用设备购置）</w:t>
      </w:r>
    </w:p>
    <w:p>
      <w:pPr>
        <w:pStyle w:val="6"/>
        <w:numPr>
          <w:ilvl w:val="0"/>
          <w:numId w:val="0"/>
        </w:numPr>
        <w:rPr>
          <w:rFonts w:hint="default"/>
          <w:sz w:val="28"/>
          <w:szCs w:val="28"/>
          <w:lang w:val="en-US" w:eastAsia="zh-CN"/>
        </w:rPr>
      </w:pPr>
      <w:r>
        <w:drawing>
          <wp:inline distT="0" distB="0" distL="114300" distR="114300">
            <wp:extent cx="8738235" cy="3215005"/>
            <wp:effectExtent l="28575" t="28575" r="34290" b="33020"/>
            <wp:docPr id="5" name="图片 1"/>
            <wp:cNvGraphicFramePr>
              <a:graphicFrameLocks noChangeAspect="1"/>
            </wp:cNvGraphicFramePr>
            <a:graphic>
              <a:graphicData uri="http://schemas.openxmlformats.org/drawingml/2006/picture">
                <pic:pic>
                  <pic:nvPicPr>
                    <pic:cNvPr id="5" name="图片 1"/>
                    <pic:cNvPicPr>
                      <a:picLocks noChangeAspect="1"/>
                    </pic:cNvPicPr>
                  </pic:nvPicPr>
                  <pic:blipFill>
                    <a:blip r:embed="rId9"/>
                    <a:stretch>
                      <a:fillRect/>
                    </a:stretch>
                  </pic:blipFill>
                  <pic:spPr>
                    <a:xfrm>
                      <a:off x="0" y="0"/>
                      <a:ext cx="8738235" cy="3215005"/>
                    </a:xfrm>
                    <a:prstGeom prst="rect">
                      <a:avLst/>
                    </a:prstGeom>
                    <a:noFill/>
                    <a:ln w="28575" cmpd="sng">
                      <a:solidFill>
                        <a:schemeClr val="accent1">
                          <a:shade val="50000"/>
                        </a:schemeClr>
                      </a:solidFill>
                      <a:prstDash val="solid"/>
                    </a:ln>
                  </pic:spPr>
                </pic:pic>
              </a:graphicData>
            </a:graphic>
          </wp:inline>
        </w:drawing>
      </w:r>
    </w:p>
    <w:p>
      <w:pPr>
        <w:pStyle w:val="6"/>
        <w:numPr>
          <w:ilvl w:val="0"/>
          <w:numId w:val="6"/>
        </w:numPr>
        <w:rPr>
          <w:sz w:val="28"/>
          <w:szCs w:val="28"/>
        </w:rPr>
      </w:pPr>
      <w:r>
        <w:rPr>
          <w:rFonts w:hint="eastAsia"/>
          <w:sz w:val="28"/>
          <w:szCs w:val="28"/>
        </w:rPr>
        <w:t>填写购买资产名称，资产所属品类、申购数量、单位、预估单价（万元）、设备类型等必填字段</w:t>
      </w:r>
    </w:p>
    <w:p>
      <w:pPr>
        <w:pStyle w:val="6"/>
        <w:numPr>
          <w:ilvl w:val="0"/>
          <w:numId w:val="6"/>
        </w:numPr>
        <w:rPr>
          <w:sz w:val="28"/>
          <w:szCs w:val="28"/>
        </w:rPr>
      </w:pPr>
      <w:r>
        <w:rPr>
          <w:rFonts w:hint="eastAsia"/>
          <w:sz w:val="28"/>
          <w:szCs w:val="28"/>
        </w:rPr>
        <w:t>拟购设备信息及预算测算依据</w:t>
      </w:r>
      <w:r>
        <w:rPr>
          <w:rFonts w:hint="eastAsia"/>
          <w:b/>
          <w:bCs/>
          <w:color w:val="EE0000"/>
          <w:sz w:val="28"/>
          <w:szCs w:val="28"/>
        </w:rPr>
        <w:t>(预估总价10万元以上必填)</w:t>
      </w:r>
    </w:p>
    <w:p>
      <w:pPr>
        <w:pStyle w:val="6"/>
        <w:ind w:left="0" w:leftChars="0" w:firstLine="0" w:firstLineChars="0"/>
        <w:rPr>
          <w:sz w:val="28"/>
          <w:szCs w:val="28"/>
        </w:rPr>
      </w:pPr>
      <w:r>
        <w:rPr>
          <w:sz w:val="28"/>
          <w:szCs w:val="28"/>
        </w:rPr>
        <w:drawing>
          <wp:inline distT="0" distB="0" distL="0" distR="0">
            <wp:extent cx="8338185" cy="1356360"/>
            <wp:effectExtent l="28575" t="28575" r="34290" b="43815"/>
            <wp:docPr id="1870555904" name="图片 1"/>
            <wp:cNvGraphicFramePr>
              <a:graphicFrameLocks noChangeAspect="1"/>
            </wp:cNvGraphicFramePr>
            <a:graphic>
              <a:graphicData uri="http://schemas.openxmlformats.org/drawingml/2006/picture">
                <pic:pic>
                  <pic:nvPicPr>
                    <pic:cNvPr id="1870555904" name="图片 1"/>
                    <pic:cNvPicPr>
                      <a:picLocks noChangeAspect="1"/>
                    </pic:cNvPicPr>
                  </pic:nvPicPr>
                  <pic:blipFill>
                    <a:blip r:embed="rId10"/>
                    <a:stretch>
                      <a:fillRect/>
                    </a:stretch>
                  </pic:blipFill>
                  <pic:spPr>
                    <a:xfrm>
                      <a:off x="0" y="0"/>
                      <a:ext cx="8338185" cy="1356360"/>
                    </a:xfrm>
                    <a:prstGeom prst="rect">
                      <a:avLst/>
                    </a:prstGeom>
                    <a:ln w="28575" cmpd="sng">
                      <a:solidFill>
                        <a:schemeClr val="accent1">
                          <a:shade val="50000"/>
                        </a:schemeClr>
                      </a:solidFill>
                      <a:prstDash val="solid"/>
                    </a:ln>
                  </pic:spPr>
                </pic:pic>
              </a:graphicData>
            </a:graphic>
          </wp:inline>
        </w:drawing>
      </w:r>
    </w:p>
    <w:p>
      <w:pPr>
        <w:pStyle w:val="6"/>
        <w:ind w:left="780"/>
        <w:rPr>
          <w:sz w:val="28"/>
          <w:szCs w:val="28"/>
        </w:rPr>
      </w:pPr>
    </w:p>
    <w:p>
      <w:pPr>
        <w:pStyle w:val="6"/>
        <w:numPr>
          <w:ilvl w:val="0"/>
          <w:numId w:val="6"/>
        </w:numPr>
        <w:rPr>
          <w:rFonts w:hint="eastAsia"/>
          <w:sz w:val="28"/>
          <w:szCs w:val="28"/>
        </w:rPr>
      </w:pPr>
      <w:r>
        <w:rPr>
          <w:rFonts w:hint="eastAsia"/>
          <w:sz w:val="28"/>
          <w:szCs w:val="28"/>
        </w:rPr>
        <w:t>主要技术参数</w:t>
      </w:r>
      <w:r>
        <w:rPr>
          <w:rFonts w:hint="eastAsia"/>
          <w:b/>
          <w:bCs/>
          <w:color w:val="EE0000"/>
          <w:sz w:val="28"/>
          <w:szCs w:val="28"/>
        </w:rPr>
        <w:t>(预估总价50万元以上必填)</w:t>
      </w:r>
    </w:p>
    <w:p>
      <w:pPr>
        <w:pStyle w:val="6"/>
        <w:ind w:left="0" w:leftChars="0" w:firstLine="0" w:firstLineChars="0"/>
        <w:rPr>
          <w:sz w:val="28"/>
          <w:szCs w:val="28"/>
        </w:rPr>
      </w:pPr>
      <w:r>
        <w:rPr>
          <w:sz w:val="28"/>
          <w:szCs w:val="28"/>
        </w:rPr>
        <w:drawing>
          <wp:inline distT="0" distB="0" distL="0" distR="0">
            <wp:extent cx="8368030" cy="1586865"/>
            <wp:effectExtent l="28575" t="28575" r="42545" b="41910"/>
            <wp:docPr id="221746203" name="图片 1"/>
            <wp:cNvGraphicFramePr>
              <a:graphicFrameLocks noChangeAspect="1"/>
            </wp:cNvGraphicFramePr>
            <a:graphic>
              <a:graphicData uri="http://schemas.openxmlformats.org/drawingml/2006/picture">
                <pic:pic>
                  <pic:nvPicPr>
                    <pic:cNvPr id="221746203" name="图片 1"/>
                    <pic:cNvPicPr>
                      <a:picLocks noChangeAspect="1"/>
                    </pic:cNvPicPr>
                  </pic:nvPicPr>
                  <pic:blipFill>
                    <a:blip r:embed="rId11"/>
                    <a:stretch>
                      <a:fillRect/>
                    </a:stretch>
                  </pic:blipFill>
                  <pic:spPr>
                    <a:xfrm>
                      <a:off x="0" y="0"/>
                      <a:ext cx="8368030" cy="1586865"/>
                    </a:xfrm>
                    <a:prstGeom prst="rect">
                      <a:avLst/>
                    </a:prstGeom>
                    <a:ln w="28575" cmpd="sng">
                      <a:solidFill>
                        <a:schemeClr val="accent1">
                          <a:shade val="50000"/>
                        </a:schemeClr>
                      </a:solidFill>
                      <a:prstDash val="solid"/>
                    </a:ln>
                  </pic:spPr>
                </pic:pic>
              </a:graphicData>
            </a:graphic>
          </wp:inline>
        </w:drawing>
      </w:r>
    </w:p>
    <w:p>
      <w:pPr>
        <w:pStyle w:val="6"/>
        <w:numPr>
          <w:ilvl w:val="0"/>
          <w:numId w:val="6"/>
        </w:numPr>
        <w:rPr>
          <w:sz w:val="28"/>
          <w:szCs w:val="28"/>
        </w:rPr>
      </w:pPr>
      <w:r>
        <w:rPr>
          <w:rFonts w:hint="eastAsia"/>
          <w:sz w:val="28"/>
          <w:szCs w:val="28"/>
        </w:rPr>
        <w:t>使用效益分析</w:t>
      </w:r>
      <w:r>
        <w:rPr>
          <w:rFonts w:hint="eastAsia"/>
          <w:b/>
          <w:bCs/>
          <w:color w:val="EE0000"/>
          <w:sz w:val="28"/>
          <w:szCs w:val="28"/>
        </w:rPr>
        <w:t>(预估总价10万元以上必填)</w:t>
      </w:r>
    </w:p>
    <w:p>
      <w:pPr>
        <w:rPr>
          <w:sz w:val="28"/>
          <w:szCs w:val="28"/>
        </w:rPr>
      </w:pPr>
      <w:r>
        <w:rPr>
          <w:sz w:val="28"/>
          <w:szCs w:val="28"/>
        </w:rPr>
        <w:drawing>
          <wp:inline distT="0" distB="0" distL="0" distR="0">
            <wp:extent cx="8817610" cy="1177290"/>
            <wp:effectExtent l="28575" t="28575" r="31115" b="32385"/>
            <wp:docPr id="1625576798" name="图片 1" descr="图形用户界面, 应用程序, Word&#10;&#10;AI 生成的内容可能不正确。"/>
            <wp:cNvGraphicFramePr>
              <a:graphicFrameLocks noChangeAspect="1"/>
            </wp:cNvGraphicFramePr>
            <a:graphic>
              <a:graphicData uri="http://schemas.openxmlformats.org/drawingml/2006/picture">
                <pic:pic>
                  <pic:nvPicPr>
                    <pic:cNvPr id="1625576798" name="图片 1" descr="图形用户界面, 应用程序, Word&#10;&#10;AI 生成的内容可能不正确。"/>
                    <pic:cNvPicPr>
                      <a:picLocks noChangeAspect="1"/>
                    </pic:cNvPicPr>
                  </pic:nvPicPr>
                  <pic:blipFill>
                    <a:blip r:embed="rId12"/>
                    <a:stretch>
                      <a:fillRect/>
                    </a:stretch>
                  </pic:blipFill>
                  <pic:spPr>
                    <a:xfrm>
                      <a:off x="0" y="0"/>
                      <a:ext cx="8817610" cy="1177290"/>
                    </a:xfrm>
                    <a:prstGeom prst="rect">
                      <a:avLst/>
                    </a:prstGeom>
                    <a:ln w="28575" cmpd="sng">
                      <a:solidFill>
                        <a:schemeClr val="accent1">
                          <a:shade val="50000"/>
                        </a:schemeClr>
                      </a:solidFill>
                      <a:prstDash val="solid"/>
                    </a:ln>
                  </pic:spPr>
                </pic:pic>
              </a:graphicData>
            </a:graphic>
          </wp:inline>
        </w:drawing>
      </w:r>
    </w:p>
    <w:p>
      <w:pPr>
        <w:pStyle w:val="6"/>
        <w:numPr>
          <w:ilvl w:val="0"/>
          <w:numId w:val="6"/>
        </w:numPr>
        <w:rPr>
          <w:sz w:val="28"/>
          <w:szCs w:val="28"/>
        </w:rPr>
      </w:pPr>
      <w:r>
        <w:rPr>
          <w:rFonts w:hint="eastAsia"/>
          <w:sz w:val="28"/>
          <w:szCs w:val="28"/>
        </w:rPr>
        <w:t>可操作设备人员技术资质</w:t>
      </w:r>
      <w:r>
        <w:rPr>
          <w:rFonts w:hint="eastAsia"/>
          <w:b/>
          <w:bCs/>
          <w:color w:val="EE0000"/>
          <w:sz w:val="28"/>
          <w:szCs w:val="28"/>
        </w:rPr>
        <w:t>(预估总价10万元以上必填)</w:t>
      </w:r>
    </w:p>
    <w:p>
      <w:pPr>
        <w:rPr>
          <w:sz w:val="28"/>
          <w:szCs w:val="28"/>
        </w:rPr>
      </w:pPr>
      <w:r>
        <w:rPr>
          <w:sz w:val="28"/>
          <w:szCs w:val="28"/>
        </w:rPr>
        <w:drawing>
          <wp:inline distT="0" distB="0" distL="0" distR="0">
            <wp:extent cx="8863330" cy="767715"/>
            <wp:effectExtent l="28575" t="28575" r="42545" b="41910"/>
            <wp:docPr id="2111473161" name="图片 1" descr="图片包含 图形用户界面&#10;&#10;AI 生成的内容可能不正确。"/>
            <wp:cNvGraphicFramePr>
              <a:graphicFrameLocks noChangeAspect="1"/>
            </wp:cNvGraphicFramePr>
            <a:graphic>
              <a:graphicData uri="http://schemas.openxmlformats.org/drawingml/2006/picture">
                <pic:pic>
                  <pic:nvPicPr>
                    <pic:cNvPr id="2111473161" name="图片 1" descr="图片包含 图形用户界面&#10;&#10;AI 生成的内容可能不正确。"/>
                    <pic:cNvPicPr>
                      <a:picLocks noChangeAspect="1"/>
                    </pic:cNvPicPr>
                  </pic:nvPicPr>
                  <pic:blipFill>
                    <a:blip r:embed="rId13"/>
                    <a:stretch>
                      <a:fillRect/>
                    </a:stretch>
                  </pic:blipFill>
                  <pic:spPr>
                    <a:xfrm>
                      <a:off x="0" y="0"/>
                      <a:ext cx="8863330" cy="767715"/>
                    </a:xfrm>
                    <a:prstGeom prst="rect">
                      <a:avLst/>
                    </a:prstGeom>
                    <a:ln w="28575" cmpd="sng">
                      <a:solidFill>
                        <a:schemeClr val="accent1">
                          <a:shade val="50000"/>
                        </a:schemeClr>
                      </a:solidFill>
                      <a:prstDash val="solid"/>
                    </a:ln>
                  </pic:spPr>
                </pic:pic>
              </a:graphicData>
            </a:graphic>
          </wp:inline>
        </w:drawing>
      </w:r>
    </w:p>
    <w:p>
      <w:pPr>
        <w:pStyle w:val="6"/>
        <w:numPr>
          <w:ilvl w:val="0"/>
          <w:numId w:val="6"/>
        </w:numPr>
        <w:rPr>
          <w:sz w:val="28"/>
          <w:szCs w:val="28"/>
        </w:rPr>
      </w:pPr>
      <w:r>
        <w:rPr>
          <w:rFonts w:hint="eastAsia"/>
          <w:sz w:val="28"/>
          <w:szCs w:val="28"/>
        </w:rPr>
        <w:t>场地情况</w:t>
      </w:r>
      <w:r>
        <w:rPr>
          <w:rFonts w:hint="eastAsia"/>
          <w:b/>
          <w:bCs/>
          <w:color w:val="EE0000"/>
          <w:sz w:val="28"/>
          <w:szCs w:val="28"/>
        </w:rPr>
        <w:t>(预估总价50万元以上必填)</w:t>
      </w:r>
    </w:p>
    <w:p>
      <w:pPr>
        <w:pStyle w:val="6"/>
        <w:ind w:left="0" w:leftChars="0" w:firstLine="0" w:firstLineChars="0"/>
        <w:rPr>
          <w:rFonts w:hint="eastAsia"/>
          <w:sz w:val="28"/>
          <w:szCs w:val="28"/>
        </w:rPr>
      </w:pPr>
      <w:r>
        <w:rPr>
          <w:sz w:val="28"/>
          <w:szCs w:val="28"/>
        </w:rPr>
        <w:drawing>
          <wp:inline distT="0" distB="0" distL="0" distR="0">
            <wp:extent cx="8762365" cy="1035050"/>
            <wp:effectExtent l="28575" t="28575" r="29210" b="41275"/>
            <wp:docPr id="1687492039" name="图片 1"/>
            <wp:cNvGraphicFramePr>
              <a:graphicFrameLocks noChangeAspect="1"/>
            </wp:cNvGraphicFramePr>
            <a:graphic>
              <a:graphicData uri="http://schemas.openxmlformats.org/drawingml/2006/picture">
                <pic:pic>
                  <pic:nvPicPr>
                    <pic:cNvPr id="1687492039" name="图片 1"/>
                    <pic:cNvPicPr>
                      <a:picLocks noChangeAspect="1"/>
                    </pic:cNvPicPr>
                  </pic:nvPicPr>
                  <pic:blipFill>
                    <a:blip r:embed="rId14"/>
                    <a:stretch>
                      <a:fillRect/>
                    </a:stretch>
                  </pic:blipFill>
                  <pic:spPr>
                    <a:xfrm>
                      <a:off x="0" y="0"/>
                      <a:ext cx="8762365" cy="1035050"/>
                    </a:xfrm>
                    <a:prstGeom prst="rect">
                      <a:avLst/>
                    </a:prstGeom>
                    <a:ln w="28575" cmpd="sng">
                      <a:solidFill>
                        <a:schemeClr val="accent1">
                          <a:shade val="50000"/>
                        </a:schemeClr>
                      </a:solidFill>
                      <a:prstDash val="solid"/>
                    </a:ln>
                  </pic:spPr>
                </pic:pic>
              </a:graphicData>
            </a:graphic>
          </wp:inline>
        </w:drawing>
      </w:r>
    </w:p>
    <w:p>
      <w:pPr>
        <w:pStyle w:val="6"/>
        <w:numPr>
          <w:ilvl w:val="0"/>
          <w:numId w:val="6"/>
        </w:numPr>
        <w:rPr>
          <w:b/>
          <w:bCs/>
          <w:color w:val="EE0000"/>
          <w:sz w:val="28"/>
          <w:szCs w:val="28"/>
        </w:rPr>
      </w:pPr>
      <w:r>
        <w:rPr>
          <w:rFonts w:hint="eastAsia"/>
          <w:sz w:val="28"/>
          <w:szCs w:val="28"/>
        </w:rPr>
        <w:t>单价50万元存量设备上一年度成本效益分析</w:t>
      </w:r>
      <w:r>
        <w:rPr>
          <w:rFonts w:hint="eastAsia"/>
          <w:b/>
          <w:bCs/>
          <w:color w:val="EE0000"/>
          <w:sz w:val="28"/>
          <w:szCs w:val="28"/>
        </w:rPr>
        <w:t>（单价在50万元以上设备必填）</w:t>
      </w:r>
    </w:p>
    <w:p>
      <w:pPr>
        <w:pStyle w:val="6"/>
        <w:ind w:left="780"/>
        <w:rPr>
          <w:b/>
          <w:bCs/>
          <w:color w:val="EE0000"/>
          <w:sz w:val="28"/>
          <w:szCs w:val="28"/>
        </w:rPr>
      </w:pPr>
      <w:r>
        <w:rPr>
          <w:rFonts w:hint="eastAsia"/>
          <w:b/>
          <w:bCs/>
          <w:color w:val="EE0000"/>
          <w:sz w:val="28"/>
          <w:szCs w:val="28"/>
        </w:rPr>
        <w:t>下载模板，然后按照模板内容上传</w:t>
      </w:r>
    </w:p>
    <w:p>
      <w:pPr>
        <w:pStyle w:val="6"/>
        <w:ind w:left="0" w:leftChars="0" w:firstLine="0" w:firstLineChars="0"/>
        <w:rPr>
          <w:sz w:val="28"/>
          <w:szCs w:val="28"/>
        </w:rPr>
      </w:pPr>
      <w:r>
        <w:rPr>
          <w:sz w:val="28"/>
          <w:szCs w:val="28"/>
        </w:rPr>
        <w:drawing>
          <wp:inline distT="0" distB="0" distL="0" distR="0">
            <wp:extent cx="8785860" cy="1271270"/>
            <wp:effectExtent l="28575" t="9525" r="43815" b="33655"/>
            <wp:docPr id="832859982" name="图片 1"/>
            <wp:cNvGraphicFramePr>
              <a:graphicFrameLocks noChangeAspect="1"/>
            </wp:cNvGraphicFramePr>
            <a:graphic>
              <a:graphicData uri="http://schemas.openxmlformats.org/drawingml/2006/picture">
                <pic:pic>
                  <pic:nvPicPr>
                    <pic:cNvPr id="832859982" name="图片 1"/>
                    <pic:cNvPicPr>
                      <a:picLocks noChangeAspect="1"/>
                    </pic:cNvPicPr>
                  </pic:nvPicPr>
                  <pic:blipFill>
                    <a:blip r:embed="rId15"/>
                    <a:stretch>
                      <a:fillRect/>
                    </a:stretch>
                  </pic:blipFill>
                  <pic:spPr>
                    <a:xfrm>
                      <a:off x="0" y="0"/>
                      <a:ext cx="8785860" cy="1271270"/>
                    </a:xfrm>
                    <a:prstGeom prst="rect">
                      <a:avLst/>
                    </a:prstGeom>
                    <a:ln w="28575" cmpd="sng">
                      <a:solidFill>
                        <a:schemeClr val="accent1">
                          <a:shade val="50000"/>
                        </a:schemeClr>
                      </a:solidFill>
                      <a:prstDash val="solid"/>
                    </a:ln>
                  </pic:spPr>
                </pic:pic>
              </a:graphicData>
            </a:graphic>
          </wp:inline>
        </w:drawing>
      </w:r>
    </w:p>
    <w:p>
      <w:pPr>
        <w:pStyle w:val="6"/>
        <w:ind w:left="780"/>
        <w:rPr>
          <w:sz w:val="28"/>
          <w:szCs w:val="28"/>
        </w:rPr>
      </w:pPr>
    </w:p>
    <w:p>
      <w:pPr>
        <w:pStyle w:val="6"/>
        <w:numPr>
          <w:ilvl w:val="0"/>
          <w:numId w:val="6"/>
        </w:numPr>
        <w:rPr>
          <w:b/>
          <w:bCs/>
          <w:color w:val="EE0000"/>
          <w:sz w:val="28"/>
          <w:szCs w:val="28"/>
        </w:rPr>
      </w:pPr>
      <w:r>
        <w:rPr>
          <w:rFonts w:hint="eastAsia"/>
          <w:sz w:val="28"/>
          <w:szCs w:val="28"/>
        </w:rPr>
        <w:t>申请科室意见</w:t>
      </w:r>
      <w:r>
        <w:rPr>
          <w:rFonts w:hint="eastAsia"/>
          <w:b/>
          <w:bCs/>
          <w:color w:val="EE0000"/>
          <w:sz w:val="28"/>
          <w:szCs w:val="28"/>
        </w:rPr>
        <w:t>（预估总价</w:t>
      </w:r>
      <w:r>
        <w:rPr>
          <w:rFonts w:hint="eastAsia"/>
          <w:b/>
          <w:bCs/>
          <w:color w:val="EE0000"/>
          <w:sz w:val="28"/>
          <w:szCs w:val="28"/>
          <w:lang w:val="en-US" w:eastAsia="zh-CN"/>
        </w:rPr>
        <w:t>5</w:t>
      </w:r>
      <w:r>
        <w:rPr>
          <w:rFonts w:hint="eastAsia"/>
          <w:b/>
          <w:bCs/>
          <w:color w:val="EE0000"/>
          <w:sz w:val="28"/>
          <w:szCs w:val="28"/>
        </w:rPr>
        <w:t>万元以上必上传</w:t>
      </w:r>
      <w:r>
        <w:rPr>
          <w:rFonts w:hint="eastAsia"/>
          <w:b/>
          <w:bCs/>
          <w:color w:val="EE0000"/>
          <w:sz w:val="28"/>
          <w:szCs w:val="28"/>
          <w:lang w:val="en-US" w:eastAsia="zh-CN"/>
        </w:rPr>
        <w:t>手写签字PDF版</w:t>
      </w:r>
      <w:r>
        <w:rPr>
          <w:rFonts w:hint="eastAsia"/>
          <w:b/>
          <w:bCs/>
          <w:color w:val="EE0000"/>
          <w:sz w:val="28"/>
          <w:szCs w:val="28"/>
        </w:rPr>
        <w:t>）</w:t>
      </w:r>
    </w:p>
    <w:p>
      <w:pPr>
        <w:pStyle w:val="6"/>
        <w:ind w:left="0" w:leftChars="0" w:firstLine="0" w:firstLineChars="0"/>
        <w:rPr>
          <w:sz w:val="28"/>
          <w:szCs w:val="28"/>
        </w:rPr>
      </w:pPr>
      <w:r>
        <w:rPr>
          <w:sz w:val="28"/>
          <w:szCs w:val="28"/>
        </w:rPr>
        <w:drawing>
          <wp:inline distT="0" distB="0" distL="114300" distR="114300">
            <wp:extent cx="8800465" cy="1071245"/>
            <wp:effectExtent l="28575" t="28575" r="29210" b="43180"/>
            <wp:docPr id="3" name="图片 3"/>
            <wp:cNvGraphicFramePr>
              <a:graphicFrameLocks noChangeAspect="1"/>
            </wp:cNvGraphicFramePr>
            <a:graphic>
              <a:graphicData uri="http://schemas.openxmlformats.org/drawingml/2006/picture">
                <pic:pic>
                  <pic:nvPicPr>
                    <pic:cNvPr id="3" name="图片 3"/>
                    <pic:cNvPicPr>
                      <a:picLocks noChangeAspect="1"/>
                    </pic:cNvPicPr>
                  </pic:nvPicPr>
                  <pic:blipFill>
                    <a:blip r:embed="rId16"/>
                    <a:stretch>
                      <a:fillRect/>
                    </a:stretch>
                  </pic:blipFill>
                  <pic:spPr>
                    <a:xfrm>
                      <a:off x="0" y="0"/>
                      <a:ext cx="8800465" cy="1071245"/>
                    </a:xfrm>
                    <a:prstGeom prst="rect">
                      <a:avLst/>
                    </a:prstGeom>
                    <a:noFill/>
                    <a:ln w="28575" cmpd="sng">
                      <a:solidFill>
                        <a:schemeClr val="accent1">
                          <a:shade val="50000"/>
                        </a:schemeClr>
                      </a:solidFill>
                      <a:prstDash val="solid"/>
                    </a:ln>
                  </pic:spPr>
                </pic:pic>
              </a:graphicData>
            </a:graphic>
          </wp:inline>
        </w:drawing>
      </w:r>
    </w:p>
    <w:p>
      <w:r>
        <w:rPr>
          <w:rFonts w:hint="eastAsia"/>
          <w:sz w:val="28"/>
          <w:szCs w:val="28"/>
        </w:rPr>
        <w:t>四、提交审批，上传完成后，将单据提交审批，可查看审批流程。</w:t>
      </w:r>
    </w:p>
    <w:p>
      <w:pPr>
        <w:rPr>
          <w:rFonts w:hint="eastAsia" w:eastAsiaTheme="minorEastAsia"/>
          <w:lang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D48F58"/>
    <w:multiLevelType w:val="singleLevel"/>
    <w:tmpl w:val="C3D48F58"/>
    <w:lvl w:ilvl="0" w:tentative="0">
      <w:start w:val="1"/>
      <w:numFmt w:val="decimal"/>
      <w:suff w:val="nothing"/>
      <w:lvlText w:val="%1、"/>
      <w:lvlJc w:val="left"/>
    </w:lvl>
  </w:abstractNum>
  <w:abstractNum w:abstractNumId="1">
    <w:nsid w:val="CBB95953"/>
    <w:multiLevelType w:val="singleLevel"/>
    <w:tmpl w:val="CBB95953"/>
    <w:lvl w:ilvl="0" w:tentative="0">
      <w:start w:val="1"/>
      <w:numFmt w:val="decimal"/>
      <w:suff w:val="nothing"/>
      <w:lvlText w:val="%1、"/>
      <w:lvlJc w:val="left"/>
    </w:lvl>
  </w:abstractNum>
  <w:abstractNum w:abstractNumId="2">
    <w:nsid w:val="0000000B"/>
    <w:multiLevelType w:val="singleLevel"/>
    <w:tmpl w:val="0000000B"/>
    <w:lvl w:ilvl="0" w:tentative="0">
      <w:start w:val="1"/>
      <w:numFmt w:val="decimal"/>
      <w:suff w:val="nothing"/>
      <w:lvlText w:val="%1、"/>
      <w:lvlJc w:val="left"/>
    </w:lvl>
  </w:abstractNum>
  <w:abstractNum w:abstractNumId="3">
    <w:nsid w:val="55C651D6"/>
    <w:multiLevelType w:val="multilevel"/>
    <w:tmpl w:val="55C651D6"/>
    <w:lvl w:ilvl="0" w:tentative="0">
      <w:start w:val="1"/>
      <w:numFmt w:val="decimal"/>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4">
    <w:nsid w:val="67307B1F"/>
    <w:multiLevelType w:val="multilevel"/>
    <w:tmpl w:val="67307B1F"/>
    <w:lvl w:ilvl="0" w:tentative="0">
      <w:start w:val="1"/>
      <w:numFmt w:val="japaneseCounting"/>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7A9B6C3F"/>
    <w:multiLevelType w:val="multilevel"/>
    <w:tmpl w:val="7A9B6C3F"/>
    <w:lvl w:ilvl="0" w:tentative="0">
      <w:start w:val="1"/>
      <w:numFmt w:val="decimal"/>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4Y2I5MjJlNDNmMDIwNGM2ODUyYTU4ZGZhN2Y0OWUifQ=="/>
  </w:docVars>
  <w:rsids>
    <w:rsidRoot w:val="30F25562"/>
    <w:rsid w:val="0C096752"/>
    <w:rsid w:val="1346162F"/>
    <w:rsid w:val="1AA31F85"/>
    <w:rsid w:val="1F1B511B"/>
    <w:rsid w:val="227661F6"/>
    <w:rsid w:val="26150B45"/>
    <w:rsid w:val="30F25562"/>
    <w:rsid w:val="366A014B"/>
    <w:rsid w:val="3B2A0B25"/>
    <w:rsid w:val="57544F8D"/>
    <w:rsid w:val="58D53A6B"/>
    <w:rsid w:val="74AE4C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autoRedefine/>
    <w:unhideWhenUsed/>
    <w:qFormat/>
    <w:uiPriority w:val="99"/>
    <w:rPr>
      <w:color w:val="0026E5" w:themeColor="hyperlink"/>
      <w:u w:val="single"/>
      <w14:textFill>
        <w14:solidFill>
          <w14:schemeClr w14:val="hlink"/>
        </w14:solidFill>
      </w14:textFill>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1821</Words>
  <Characters>1934</Characters>
  <Lines>0</Lines>
  <Paragraphs>0</Paragraphs>
  <TotalTime>23</TotalTime>
  <ScaleCrop>false</ScaleCrop>
  <LinksUpToDate>false</LinksUpToDate>
  <CharactersWithSpaces>2247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2025-10-21T01:04:00Z</dcterms:created>
  <dc:creator>怦然心动</dc:creator>
  <cp:lastModifiedBy>李亮</cp:lastModifiedBy>
  <dcterms:modified xsi:type="dcterms:W3CDTF">2025-10-23T08:51:16Z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AED9182E923D496A8EC963F0350F14CF_13</vt:lpwstr>
  </property>
  <property fmtid="{D5CDD505-2E9C-101B-9397-08002B2CF9AE}" pid="4" name="KSOTemplateDocerSaveRecord">
    <vt:lpwstr>eyJoZGlkIjoiNTc0NGZjNTE5NzIwNjFjYzU0MjRmNzU2NTY5Y2ZiNmQiLCJ1c2VySWQiOiIyMDU4Nzc4OTgifQ==</vt:lpwstr>
  </property>
</Properties>
</file>